
<file path=[Content_Types].xml><?xml version="1.0" encoding="utf-8"?>
<Types xmlns="http://schemas.openxmlformats.org/package/2006/content-types">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61695" w14:textId="77777777" w:rsidR="002A58B4" w:rsidRDefault="002A58B4">
      <w:pPr>
        <w:jc w:val="both"/>
        <w:rPr>
          <w:rFonts w:ascii="Times New Roman" w:eastAsia="Times New Roman" w:hAnsi="Times New Roman" w:cs="Times New Roman"/>
          <w:sz w:val="24"/>
          <w:szCs w:val="24"/>
        </w:rPr>
      </w:pPr>
    </w:p>
    <w:p w14:paraId="203D112F" w14:textId="77777777" w:rsidR="002A58B4" w:rsidRDefault="00E056B7">
      <w:pPr>
        <w:jc w:val="center"/>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highlight w:val="white"/>
        </w:rPr>
        <w:t>Şiddete Maruz Bırakılan Kadınlar İçin Sağlık Sistemi Mevzuatının Uygulama Adımlarıyla Güçlendirilmesi</w:t>
      </w:r>
      <w:r>
        <w:rPr>
          <w:rFonts w:ascii="Arial" w:eastAsia="Arial" w:hAnsi="Arial" w:cs="Arial"/>
          <w:b/>
          <w:color w:val="222222"/>
          <w:sz w:val="24"/>
          <w:szCs w:val="24"/>
          <w:highlight w:val="white"/>
        </w:rPr>
        <w:t xml:space="preserve"> </w:t>
      </w:r>
      <w:r>
        <w:rPr>
          <w:rFonts w:ascii="Times New Roman" w:eastAsia="Times New Roman" w:hAnsi="Times New Roman" w:cs="Times New Roman"/>
          <w:b/>
          <w:sz w:val="24"/>
          <w:szCs w:val="24"/>
        </w:rPr>
        <w:t>Projesi: İzleme ve Değerlendirme Uzmanı Hizmet Alım Koşulları</w:t>
      </w:r>
    </w:p>
    <w:p w14:paraId="61C8F8FF" w14:textId="77777777" w:rsidR="002A58B4" w:rsidRDefault="00E056B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Türkiye Aile Sağlığı ve Planlaması Vakfı (TAPV)</w:t>
      </w:r>
    </w:p>
    <w:p w14:paraId="76054AAD" w14:textId="7A3ECA59" w:rsidR="002A58B4" w:rsidRDefault="00E056B7">
      <w:pPr>
        <w:jc w:val="center"/>
        <w:rPr>
          <w:rFonts w:ascii="Times New Roman" w:eastAsia="Times New Roman" w:hAnsi="Times New Roman" w:cs="Times New Roman"/>
        </w:rPr>
      </w:pPr>
      <w:r>
        <w:rPr>
          <w:rFonts w:ascii="Times New Roman" w:eastAsia="Times New Roman" w:hAnsi="Times New Roman" w:cs="Times New Roman"/>
          <w:b/>
          <w:sz w:val="24"/>
          <w:szCs w:val="24"/>
        </w:rPr>
        <w:t>REF:</w:t>
      </w:r>
      <w:r w:rsidR="000F74B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UNW-2025</w:t>
      </w:r>
      <w:r w:rsidRPr="000F74BA">
        <w:rPr>
          <w:rFonts w:ascii="Times New Roman" w:eastAsia="Times New Roman" w:hAnsi="Times New Roman" w:cs="Times New Roman"/>
          <w:b/>
          <w:sz w:val="24"/>
          <w:szCs w:val="24"/>
        </w:rPr>
        <w:t>-00</w:t>
      </w:r>
      <w:r w:rsidR="000F74BA" w:rsidRPr="000F74BA">
        <w:rPr>
          <w:rFonts w:ascii="Times New Roman" w:eastAsia="Times New Roman" w:hAnsi="Times New Roman" w:cs="Times New Roman"/>
          <w:b/>
          <w:sz w:val="24"/>
          <w:szCs w:val="24"/>
        </w:rPr>
        <w:t>9</w:t>
      </w:r>
      <w:r w:rsidR="00966022">
        <w:rPr>
          <w:rFonts w:ascii="Times New Roman" w:eastAsia="Times New Roman" w:hAnsi="Times New Roman" w:cs="Times New Roman"/>
          <w:b/>
          <w:sz w:val="24"/>
          <w:szCs w:val="24"/>
        </w:rPr>
        <w:t>9</w:t>
      </w:r>
      <w:r>
        <w:rPr>
          <w:rFonts w:ascii="Times New Roman" w:eastAsia="Times New Roman" w:hAnsi="Times New Roman" w:cs="Times New Roman"/>
        </w:rPr>
        <w:br/>
      </w:r>
      <w:r>
        <w:rPr>
          <w:rFonts w:ascii="Times New Roman" w:eastAsia="Times New Roman" w:hAnsi="Times New Roman" w:cs="Times New Roman"/>
        </w:rPr>
        <w:br/>
      </w:r>
    </w:p>
    <w:p w14:paraId="440ED6EB" w14:textId="77777777" w:rsidR="002A58B4" w:rsidRDefault="00E056B7">
      <w:pPr>
        <w:numPr>
          <w:ilvl w:val="0"/>
          <w:numId w:val="2"/>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Giriş</w:t>
      </w:r>
    </w:p>
    <w:p w14:paraId="0857C9D2"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Türkiye Aile Sağlığı ve Planlaması Vakfı, UN Women’in desteği ile sürdürmeye başladığı </w:t>
      </w:r>
      <w:r>
        <w:rPr>
          <w:rFonts w:ascii="Times New Roman" w:eastAsia="Times New Roman" w:hAnsi="Times New Roman" w:cs="Times New Roman"/>
          <w:color w:val="222222"/>
          <w:highlight w:val="white"/>
        </w:rPr>
        <w:t>Şiddete Maruz Bırakılan Kadınlar İçin Sağlık Sistemi Mevzuatının Uygulama Adımlarıyla Güçlendirilmesi Projesi</w:t>
      </w:r>
      <w:r>
        <w:rPr>
          <w:rFonts w:ascii="Times New Roman" w:eastAsia="Times New Roman" w:hAnsi="Times New Roman" w:cs="Times New Roman"/>
        </w:rPr>
        <w:t>nde şiddette maruz kalan kadınların; şiddet sırasında ve sonrasında yaşadıkları travma ya da kriz sürecinde sağlık sistemi içinde koruyucu-önleyici hizmetlere bütüncül olarak hakları perspektifinden erişebilmesi için mekanizmaların güçlendirilmesi temel amacıyla bu projeyi yürütmektedir. Proje, 13.06.2025-05.02.2027 aralığında gerçekleşecektir.  </w:t>
      </w:r>
    </w:p>
    <w:p w14:paraId="2AE6259A" w14:textId="77777777" w:rsidR="002A58B4" w:rsidRDefault="00E056B7">
      <w:pPr>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Projenin temel amacını besleyen spesifik hedefler:</w:t>
      </w:r>
    </w:p>
    <w:p w14:paraId="5A3D5425" w14:textId="77777777" w:rsidR="002A58B4" w:rsidRDefault="00E056B7">
      <w:pPr>
        <w:spacing w:before="240" w:after="240"/>
        <w:jc w:val="both"/>
        <w:rPr>
          <w:rFonts w:ascii="Times New Roman" w:eastAsia="Times New Roman" w:hAnsi="Times New Roman" w:cs="Times New Roman"/>
        </w:rPr>
      </w:pPr>
      <w:r>
        <w:rPr>
          <w:rFonts w:ascii="Times New Roman" w:eastAsia="Times New Roman" w:hAnsi="Times New Roman" w:cs="Times New Roman"/>
          <w:b/>
        </w:rPr>
        <w:t xml:space="preserve">Temel Amaç: </w:t>
      </w:r>
      <w:r>
        <w:rPr>
          <w:rFonts w:ascii="Times New Roman" w:eastAsia="Times New Roman" w:hAnsi="Times New Roman" w:cs="Times New Roman"/>
        </w:rPr>
        <w:t>Kadına yönelik şiddete karşı toplumsal cinsiyete duyarlı bir sağlık hizmeti sunumu için kurumsal kapasitenin ve sektörler arası eşgüdümün güçlendirilmesi</w:t>
      </w:r>
    </w:p>
    <w:p w14:paraId="7DD1E90D" w14:textId="77777777" w:rsidR="002A58B4" w:rsidRDefault="00E056B7">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Spesifik Hedefler: </w:t>
      </w:r>
    </w:p>
    <w:p w14:paraId="78E6A137" w14:textId="77777777" w:rsidR="002A58B4" w:rsidRDefault="00E056B7">
      <w:pPr>
        <w:numPr>
          <w:ilvl w:val="0"/>
          <w:numId w:val="17"/>
        </w:numPr>
        <w:spacing w:before="240" w:after="0"/>
        <w:jc w:val="both"/>
        <w:rPr>
          <w:rFonts w:ascii="Times New Roman" w:eastAsia="Times New Roman" w:hAnsi="Times New Roman" w:cs="Times New Roman"/>
        </w:rPr>
      </w:pPr>
      <w:r>
        <w:rPr>
          <w:rFonts w:ascii="Times New Roman" w:eastAsia="Times New Roman" w:hAnsi="Times New Roman" w:cs="Times New Roman"/>
        </w:rPr>
        <w:t>Kanıta dayalı ve katılımcı bir yaklaşımla, kadına yönelik şiddete hak temelli sağlık hizmetini güçlendirmeye yönelik politika önerileri geliştirilmesi ve yaygınlaştırılması,</w:t>
      </w:r>
    </w:p>
    <w:p w14:paraId="42C3A0CF" w14:textId="77777777" w:rsidR="002A58B4" w:rsidRDefault="00E056B7">
      <w:pPr>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İstanbul ve İzmir’de, kadına yönelik şiddetle mücadelede sağlık sektörü ile diğer ilgili sektörler arasındaki kurumlar arası koordinasyon mekanizmaları güçlendirilmesi,</w:t>
      </w:r>
    </w:p>
    <w:p w14:paraId="65FCF957" w14:textId="77777777" w:rsidR="002A58B4" w:rsidRDefault="00E056B7">
      <w:pPr>
        <w:numPr>
          <w:ilvl w:val="0"/>
          <w:numId w:val="17"/>
        </w:numPr>
        <w:spacing w:after="0"/>
        <w:jc w:val="both"/>
        <w:rPr>
          <w:rFonts w:ascii="Times New Roman" w:eastAsia="Times New Roman" w:hAnsi="Times New Roman" w:cs="Times New Roman"/>
        </w:rPr>
      </w:pPr>
      <w:r>
        <w:rPr>
          <w:rFonts w:ascii="Times New Roman" w:eastAsia="Times New Roman" w:hAnsi="Times New Roman" w:cs="Times New Roman"/>
        </w:rPr>
        <w:t>Kadına yönelik şiddete yönelik sağlık hizmetlerinde kullanılmak üzere toplumsal cinsiyete duyarlı standartlar, rehberler ve prosedürler geliştirilmesi ve pilot uygulamaları gerçekleştirilmesi,</w:t>
      </w:r>
    </w:p>
    <w:p w14:paraId="34F67E22" w14:textId="77777777" w:rsidR="002A58B4" w:rsidRDefault="00E056B7">
      <w:pPr>
        <w:numPr>
          <w:ilvl w:val="0"/>
          <w:numId w:val="17"/>
        </w:numPr>
        <w:spacing w:after="240"/>
        <w:jc w:val="both"/>
        <w:rPr>
          <w:rFonts w:ascii="Times New Roman" w:eastAsia="Times New Roman" w:hAnsi="Times New Roman" w:cs="Times New Roman"/>
        </w:rPr>
      </w:pPr>
      <w:r>
        <w:rPr>
          <w:rFonts w:ascii="Times New Roman" w:eastAsia="Times New Roman" w:hAnsi="Times New Roman" w:cs="Times New Roman"/>
        </w:rPr>
        <w:t>Şiddete maruz kalan kadınların sağlık hizmetleri ve hakları konusunda bilgi düzeylerinin artırılmasıdır.</w:t>
      </w:r>
    </w:p>
    <w:p w14:paraId="6F51BE08" w14:textId="77777777" w:rsidR="002A58B4" w:rsidRDefault="002A58B4">
      <w:pPr>
        <w:jc w:val="both"/>
        <w:rPr>
          <w:rFonts w:ascii="Times New Roman" w:eastAsia="Times New Roman" w:hAnsi="Times New Roman" w:cs="Times New Roman"/>
        </w:rPr>
      </w:pPr>
    </w:p>
    <w:p w14:paraId="2DF43763"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i/>
        </w:rPr>
        <w:t>Bu şartnamede talep edilen hizmet sunumu ile ilgili oluşturulacak çalışma planında yukarıda belirtilen temel hedef, spesifik hedefler ve aktivitelerin dikkate alınması çalışmanın amacına ulaşması bağlamında oldukça önemlidir.</w:t>
      </w:r>
    </w:p>
    <w:p w14:paraId="0CFD9BD2"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br/>
      </w:r>
    </w:p>
    <w:p w14:paraId="784F8C5F" w14:textId="1A06D542" w:rsidR="002A58B4" w:rsidRPr="00C1266D" w:rsidRDefault="00E056B7" w:rsidP="00C1266D">
      <w:pPr>
        <w:pStyle w:val="ListeParagraf"/>
        <w:numPr>
          <w:ilvl w:val="0"/>
          <w:numId w:val="2"/>
        </w:numPr>
        <w:jc w:val="both"/>
        <w:rPr>
          <w:rFonts w:ascii="Times New Roman" w:eastAsia="Times New Roman" w:hAnsi="Times New Roman" w:cs="Times New Roman"/>
          <w:b/>
        </w:rPr>
      </w:pPr>
      <w:r w:rsidRPr="00C1266D">
        <w:rPr>
          <w:rFonts w:ascii="Times New Roman" w:eastAsia="Times New Roman" w:hAnsi="Times New Roman" w:cs="Times New Roman"/>
          <w:b/>
        </w:rPr>
        <w:t>İzleme ve Değerlendirmenin Amacı</w:t>
      </w:r>
    </w:p>
    <w:p w14:paraId="1EC9047C"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İzleme ve Değerlendirme çalışması, projenin temel amacı ve spesifik hedefleri için başlangıç/temel değer göstergelerini belirleyecek, çıktı ve aktivitelerin tüm performans göstergeleri için ulaşılan hedefleri değerlendirecektir. İzleme ve değerlendirme; projenin performansının ve bu performansı etkileyen faktörlerin, projenin çıktılarını ve kazanımlarını kanıta dayalı, şeffaf, bağımsız bir değerlendirmesini sağlayacak ve kadına yönelik şiddet alanında yapılacak diğer çalışmalar için öğrenilen dersleri-önerileri belirleyecektir. Projenin raporlanmasında hedefler doğrultusunda yapılan </w:t>
      </w:r>
      <w:r>
        <w:rPr>
          <w:rFonts w:ascii="Times New Roman" w:eastAsia="Times New Roman" w:hAnsi="Times New Roman" w:cs="Times New Roman"/>
        </w:rPr>
        <w:lastRenderedPageBreak/>
        <w:t>aktivitelerin çıktı ve sonuçları değerlendirilirken toplumsal cinsiyet eşitliği ve sürdürülebilir bir perspektifle yapılması amaçlanmaktadır. Projenin izleme&amp;değerlendirme sürecinin proje ekibiyle işbirliğinde çalışması amaçlanmıştır.</w:t>
      </w:r>
    </w:p>
    <w:p w14:paraId="20BDD926" w14:textId="77777777" w:rsidR="002A58B4" w:rsidRDefault="002A58B4">
      <w:pPr>
        <w:jc w:val="both"/>
        <w:rPr>
          <w:rFonts w:ascii="Times New Roman" w:eastAsia="Times New Roman" w:hAnsi="Times New Roman" w:cs="Times New Roman"/>
        </w:rPr>
      </w:pPr>
    </w:p>
    <w:p w14:paraId="2E4040F3" w14:textId="77777777" w:rsidR="002A58B4" w:rsidRDefault="00E056B7">
      <w:pPr>
        <w:jc w:val="both"/>
        <w:rPr>
          <w:rFonts w:ascii="Times New Roman" w:eastAsia="Times New Roman" w:hAnsi="Times New Roman" w:cs="Times New Roman"/>
          <w:i/>
        </w:rPr>
      </w:pPr>
      <w:r>
        <w:rPr>
          <w:rFonts w:ascii="Times New Roman" w:eastAsia="Times New Roman" w:hAnsi="Times New Roman" w:cs="Times New Roman"/>
          <w:i/>
        </w:rPr>
        <w:t>TAPV bu şartname ile izleme ve değerlendirme çalışmaları danışmanlık hizmetini sunabilecek ve sivil toplum örgütleri ile çalışma deneyimi olan kurum veya bağımsız çalışan kişilerden teklif almak istemektedir.</w:t>
      </w:r>
    </w:p>
    <w:p w14:paraId="72088251" w14:textId="77777777" w:rsidR="002A58B4" w:rsidRDefault="002A58B4">
      <w:pPr>
        <w:jc w:val="both"/>
        <w:rPr>
          <w:rFonts w:ascii="Times New Roman" w:eastAsia="Times New Roman" w:hAnsi="Times New Roman" w:cs="Times New Roman"/>
          <w:i/>
        </w:rPr>
      </w:pPr>
    </w:p>
    <w:p w14:paraId="4B7C47AC" w14:textId="77777777" w:rsidR="002A58B4" w:rsidRDefault="002A58B4">
      <w:pPr>
        <w:jc w:val="both"/>
        <w:rPr>
          <w:rFonts w:ascii="Times New Roman" w:eastAsia="Times New Roman" w:hAnsi="Times New Roman" w:cs="Times New Roman"/>
        </w:rPr>
      </w:pPr>
    </w:p>
    <w:p w14:paraId="79D68133" w14:textId="13C55D4F" w:rsidR="002A58B4" w:rsidRPr="00C1266D" w:rsidRDefault="00E056B7" w:rsidP="00C1266D">
      <w:pPr>
        <w:pStyle w:val="ListeParagraf"/>
        <w:numPr>
          <w:ilvl w:val="0"/>
          <w:numId w:val="2"/>
        </w:numPr>
        <w:jc w:val="both"/>
        <w:rPr>
          <w:rFonts w:ascii="Times New Roman" w:eastAsia="Times New Roman" w:hAnsi="Times New Roman" w:cs="Times New Roman"/>
          <w:b/>
        </w:rPr>
      </w:pPr>
      <w:r w:rsidRPr="00C1266D">
        <w:rPr>
          <w:rFonts w:ascii="Times New Roman" w:eastAsia="Times New Roman" w:hAnsi="Times New Roman" w:cs="Times New Roman"/>
          <w:b/>
        </w:rPr>
        <w:t>Taraflar</w:t>
      </w:r>
    </w:p>
    <w:p w14:paraId="35277B10"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Bu Şartname kapsamında teklif isteyen taraf Türkiye Aile Sağlığı ve Planlaması Vakfı (TAPV), teklif veren taraf ise “Teklif Sahibi” olarak tanımlanmıştır.</w:t>
      </w:r>
    </w:p>
    <w:p w14:paraId="46A8E044" w14:textId="77777777" w:rsidR="002A58B4" w:rsidRDefault="002A58B4">
      <w:pPr>
        <w:jc w:val="both"/>
        <w:rPr>
          <w:rFonts w:ascii="Times New Roman" w:eastAsia="Times New Roman" w:hAnsi="Times New Roman" w:cs="Times New Roman"/>
        </w:rPr>
      </w:pPr>
    </w:p>
    <w:p w14:paraId="57B0672B" w14:textId="6745A4C8" w:rsidR="002A58B4" w:rsidRPr="00C1266D" w:rsidRDefault="00E056B7" w:rsidP="00C1266D">
      <w:pPr>
        <w:pStyle w:val="ListeParagraf"/>
        <w:numPr>
          <w:ilvl w:val="0"/>
          <w:numId w:val="2"/>
        </w:numPr>
        <w:jc w:val="both"/>
        <w:rPr>
          <w:rFonts w:ascii="Times New Roman" w:eastAsia="Times New Roman" w:hAnsi="Times New Roman" w:cs="Times New Roman"/>
          <w:b/>
        </w:rPr>
      </w:pPr>
      <w:r w:rsidRPr="00C1266D">
        <w:rPr>
          <w:rFonts w:ascii="Times New Roman" w:eastAsia="Times New Roman" w:hAnsi="Times New Roman" w:cs="Times New Roman"/>
          <w:b/>
        </w:rPr>
        <w:t>Beklenen hizmetlerin çerçevesi</w:t>
      </w:r>
    </w:p>
    <w:p w14:paraId="2572CDFD"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İzleme ve değerlendirme uzmanı şartnamede belirtilen amaçları gerçekleştirmek üzere niteliksel ve niceliksel araştırma tekniklerini kullanarak projenin izleme ve değerlendirme planına bağlı ve uygun bir izleme ve değerlendirme çalışması yapması beklenmektedir. Danışmanın metodolojisini oluştururken, bunlarla sınırlı kalmamak üzere;</w:t>
      </w:r>
    </w:p>
    <w:p w14:paraId="405535EE" w14:textId="77777777" w:rsidR="002A58B4" w:rsidRDefault="00E056B7">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Veri toplama araçları, </w:t>
      </w:r>
    </w:p>
    <w:p w14:paraId="2002CF31" w14:textId="77777777" w:rsidR="002A58B4" w:rsidRDefault="00E056B7">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Veri toplama yöntemi, </w:t>
      </w:r>
    </w:p>
    <w:p w14:paraId="26D35B93" w14:textId="77777777" w:rsidR="002A58B4" w:rsidRDefault="00E056B7">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Proje uygulama süresine ve aktivitelerle uyumlu veri toplama planı,</w:t>
      </w:r>
    </w:p>
    <w:p w14:paraId="156CE8E7" w14:textId="77777777" w:rsidR="002A58B4" w:rsidRDefault="00E056B7">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Niteliksel veri analizi planı, </w:t>
      </w:r>
    </w:p>
    <w:p w14:paraId="0E2F98DF" w14:textId="77777777" w:rsidR="002A58B4" w:rsidRDefault="00E056B7">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Niceliksel veri analizi planı, </w:t>
      </w:r>
    </w:p>
    <w:p w14:paraId="53086A45" w14:textId="77777777" w:rsidR="002A58B4" w:rsidRDefault="00E056B7">
      <w:pPr>
        <w:numPr>
          <w:ilvl w:val="0"/>
          <w:numId w:val="13"/>
        </w:numPr>
        <w:jc w:val="both"/>
        <w:rPr>
          <w:rFonts w:ascii="Times New Roman" w:eastAsia="Times New Roman" w:hAnsi="Times New Roman" w:cs="Times New Roman"/>
        </w:rPr>
      </w:pPr>
      <w:r>
        <w:rPr>
          <w:rFonts w:ascii="Times New Roman" w:eastAsia="Times New Roman" w:hAnsi="Times New Roman" w:cs="Times New Roman"/>
        </w:rPr>
        <w:t>İkincil veri toplanması ve analizini içermesi beklenmektedir. </w:t>
      </w:r>
    </w:p>
    <w:p w14:paraId="04E1A8F2" w14:textId="77777777" w:rsidR="002A58B4" w:rsidRDefault="002A58B4">
      <w:pPr>
        <w:jc w:val="both"/>
        <w:rPr>
          <w:rFonts w:ascii="Times New Roman" w:eastAsia="Times New Roman" w:hAnsi="Times New Roman" w:cs="Times New Roman"/>
        </w:rPr>
      </w:pPr>
    </w:p>
    <w:p w14:paraId="601AF127"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Çalışma, şiddete maruz kalan kadınlara sunulan sağlık hizmet mekanizmalarının güçlendirilmesini amaçlamaktadır bu bağlamda yapılması planlanan aktivitelerde verilerin toplanmasını ve analizini- içerecektir. İzleme Değerlendirme Raporunda, proje hedeflerinin başarısı ve başlangıç/temel değer göstergelerin proje sonu bulguları ile karşılaştırılması sunulacaktır. </w:t>
      </w:r>
    </w:p>
    <w:p w14:paraId="04A24993"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İzleme ve değerlendirme çalışmasının TAPV’nin kadına yönelik şiddet ve sağlık hakkı bağlamında geleceğe dönük, yapısal stratejisini, savunuculuk stratejisini, iletişim yapısını oluşturmakta referans olabilecek bir sürece katkı vermesini beklemekteyiz. Bu şartnamede belirtilen hizmeti sunacak izleme ve değerlendirme uzman ve/veya ekibinin, TAPV proje ekibi ile yakından çalışması beklenmekte olup; çalışma süresince aşağıdaki çıktıları sunması beklenmektedir. </w:t>
      </w:r>
    </w:p>
    <w:p w14:paraId="60ED4F29" w14:textId="77777777" w:rsidR="002A58B4" w:rsidRDefault="00E056B7">
      <w:pPr>
        <w:jc w:val="both"/>
        <w:rPr>
          <w:rFonts w:ascii="Times New Roman" w:eastAsia="Times New Roman" w:hAnsi="Times New Roman" w:cs="Times New Roman"/>
          <w:i/>
        </w:rPr>
      </w:pPr>
      <w:r>
        <w:rPr>
          <w:rFonts w:ascii="Times New Roman" w:eastAsia="Times New Roman" w:hAnsi="Times New Roman" w:cs="Times New Roman"/>
          <w:i/>
        </w:rPr>
        <w:t>Teklif Sahibi’nden tüm raporların Türkçe hazırlanması beklenmektedir.</w:t>
      </w:r>
    </w:p>
    <w:p w14:paraId="0B02D208" w14:textId="77777777" w:rsidR="002A58B4" w:rsidRDefault="002A58B4">
      <w:pPr>
        <w:jc w:val="both"/>
        <w:rPr>
          <w:rFonts w:ascii="Times New Roman" w:eastAsia="Times New Roman" w:hAnsi="Times New Roman" w:cs="Times New Roman"/>
        </w:rPr>
      </w:pPr>
    </w:p>
    <w:p w14:paraId="0640333C"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 4.1. İzleme ve Değerlendirme Uzmanlık Hizmetinden Beklenen Çıktılar:</w:t>
      </w:r>
    </w:p>
    <w:p w14:paraId="67FA2C5B" w14:textId="77777777" w:rsidR="002A58B4" w:rsidRDefault="002A58B4">
      <w:pPr>
        <w:jc w:val="both"/>
        <w:rPr>
          <w:rFonts w:ascii="Times New Roman" w:eastAsia="Times New Roman" w:hAnsi="Times New Roman" w:cs="Times New Roman"/>
        </w:rPr>
      </w:pPr>
    </w:p>
    <w:p w14:paraId="03849BAB"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lastRenderedPageBreak/>
        <w:t xml:space="preserve">  4.1.1. Başlangıç: </w:t>
      </w:r>
    </w:p>
    <w:p w14:paraId="1154A539" w14:textId="77777777" w:rsidR="002A58B4" w:rsidRDefault="00E056B7">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Projenin izleme ve değerlendirme çerçevesine bağlı olarak proje ekibiyle çalışma planı oluşturulması</w:t>
      </w:r>
    </w:p>
    <w:p w14:paraId="775334B9" w14:textId="77777777" w:rsidR="002A58B4" w:rsidRDefault="00E056B7">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İzleme ve değerlendirme araç ve formlarının geliştirilmesi; aktivite bazında halihazırda var olan çerçeve üzerinden proje ekibiyle çalışma planlaması,</w:t>
      </w:r>
    </w:p>
    <w:p w14:paraId="4E1AA62D" w14:textId="77777777" w:rsidR="002A58B4" w:rsidRDefault="00E056B7">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İzleme ve değerlendirme süreçlerindeki veri toplama ve veri analizi yöntemlerinin kararlaştırılması ve uygulama için hazır hale getirilmesi,</w:t>
      </w:r>
    </w:p>
    <w:p w14:paraId="6F65E7AF" w14:textId="77777777" w:rsidR="002A58B4" w:rsidRDefault="002A58B4">
      <w:pPr>
        <w:jc w:val="both"/>
        <w:rPr>
          <w:rFonts w:ascii="Times New Roman" w:eastAsia="Times New Roman" w:hAnsi="Times New Roman" w:cs="Times New Roman"/>
        </w:rPr>
      </w:pPr>
    </w:p>
    <w:p w14:paraId="33760E86" w14:textId="77777777" w:rsidR="002A58B4" w:rsidRDefault="002A58B4">
      <w:pPr>
        <w:jc w:val="both"/>
        <w:rPr>
          <w:rFonts w:ascii="Times New Roman" w:eastAsia="Times New Roman" w:hAnsi="Times New Roman" w:cs="Times New Roman"/>
        </w:rPr>
      </w:pPr>
    </w:p>
    <w:p w14:paraId="5317FE86"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 xml:space="preserve">  4.1.2. Uygulama: </w:t>
      </w:r>
    </w:p>
    <w:p w14:paraId="5A8C3E55" w14:textId="77777777" w:rsidR="002A58B4" w:rsidRDefault="00E056B7">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Projenin gelişim ve başarını ölçümlenmesi için veri toplama araçlarının oluşturulması ve bu süreçlerde proje ekibiyle birlikte çalışılması,</w:t>
      </w:r>
    </w:p>
    <w:p w14:paraId="5140330C" w14:textId="77777777" w:rsidR="002A58B4" w:rsidRDefault="00E056B7">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Uygulamaların projenin izleme ve değerlendirme planına uygun şekilde yürütülmesi,</w:t>
      </w:r>
    </w:p>
    <w:p w14:paraId="26F329FA" w14:textId="77777777" w:rsidR="002A58B4" w:rsidRDefault="00E056B7">
      <w:pPr>
        <w:numPr>
          <w:ilvl w:val="0"/>
          <w:numId w:val="15"/>
        </w:numPr>
        <w:jc w:val="both"/>
        <w:rPr>
          <w:rFonts w:ascii="Times New Roman" w:eastAsia="Times New Roman" w:hAnsi="Times New Roman" w:cs="Times New Roman"/>
        </w:rPr>
      </w:pPr>
      <w:r>
        <w:rPr>
          <w:rFonts w:ascii="Times New Roman" w:eastAsia="Times New Roman" w:hAnsi="Times New Roman" w:cs="Times New Roman"/>
        </w:rPr>
        <w:t>Proje bağlamının aktif takibinin önemi sahanın dinamik yapısından gelmektedir bu nedenle proje ekibi ile karar verilen belirli aktivitelere izleme ve değerlendirme uzmanının fiziksel olarak katılım göstermesi beklenebilir.  </w:t>
      </w:r>
    </w:p>
    <w:p w14:paraId="599E34C2" w14:textId="77777777" w:rsidR="002A58B4" w:rsidRDefault="002A58B4">
      <w:pPr>
        <w:jc w:val="both"/>
        <w:rPr>
          <w:rFonts w:ascii="Times New Roman" w:eastAsia="Times New Roman" w:hAnsi="Times New Roman" w:cs="Times New Roman"/>
        </w:rPr>
      </w:pPr>
    </w:p>
    <w:p w14:paraId="255AE79F"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4.1.3. Ara Rapor: </w:t>
      </w:r>
    </w:p>
    <w:p w14:paraId="2B747CE1" w14:textId="77777777" w:rsidR="002A58B4" w:rsidRDefault="00E056B7">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İzleme ve değerlendirme amacına uygun olarak projenin yıllık çeyrek dönemlerinde 2025 yılında 1 ve 2026 yılında 3 ara rapor göstergelerin sunulması ve değerlendirilmesi,</w:t>
      </w:r>
    </w:p>
    <w:p w14:paraId="2EE78D78" w14:textId="77777777" w:rsidR="002A58B4" w:rsidRDefault="00E056B7">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Mevcut çıktılarla ilgili, çalışma takviminde aktivite bazlı raporlama yapılması, bu raporlamaların ara raporlara yansıtılması, proje ekibinin bilgilendirilmesi ve projedeki güncel durumun raporlamada yansıtılması üzere sürece destek olunması beklenmektedir.</w:t>
      </w:r>
    </w:p>
    <w:p w14:paraId="042B043F" w14:textId="77777777" w:rsidR="002A58B4" w:rsidRDefault="002A58B4">
      <w:pPr>
        <w:jc w:val="both"/>
        <w:rPr>
          <w:rFonts w:ascii="Times New Roman" w:eastAsia="Times New Roman" w:hAnsi="Times New Roman" w:cs="Times New Roman"/>
        </w:rPr>
      </w:pPr>
    </w:p>
    <w:p w14:paraId="014E9B97" w14:textId="4B850408"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4.1.4. Final Rapor</w:t>
      </w:r>
      <w:r w:rsidR="00C1266D">
        <w:rPr>
          <w:rFonts w:ascii="Times New Roman" w:eastAsia="Times New Roman" w:hAnsi="Times New Roman" w:cs="Times New Roman"/>
          <w:b/>
        </w:rPr>
        <w:t>u</w:t>
      </w:r>
      <w:r>
        <w:rPr>
          <w:rFonts w:ascii="Times New Roman" w:eastAsia="Times New Roman" w:hAnsi="Times New Roman" w:cs="Times New Roman"/>
          <w:b/>
        </w:rPr>
        <w:t>: </w:t>
      </w:r>
    </w:p>
    <w:p w14:paraId="3FB393E5" w14:textId="77777777" w:rsidR="002A58B4" w:rsidRDefault="00E056B7">
      <w:pPr>
        <w:numPr>
          <w:ilvl w:val="0"/>
          <w:numId w:val="4"/>
        </w:numPr>
        <w:jc w:val="both"/>
        <w:rPr>
          <w:rFonts w:ascii="Times New Roman" w:eastAsia="Times New Roman" w:hAnsi="Times New Roman" w:cs="Times New Roman"/>
          <w:b/>
        </w:rPr>
      </w:pPr>
      <w:r>
        <w:rPr>
          <w:rFonts w:ascii="Times New Roman" w:eastAsia="Times New Roman" w:hAnsi="Times New Roman" w:cs="Times New Roman"/>
        </w:rPr>
        <w:t>Projenin gelinen son aşamasında, projenin başında belirlenen hedefler ve gelinen noktanın niteliksel ve niceliksel değerlendirmeyle sunulması, </w:t>
      </w:r>
    </w:p>
    <w:p w14:paraId="673DA031" w14:textId="77777777" w:rsidR="002A58B4" w:rsidRDefault="00E056B7">
      <w:pPr>
        <w:numPr>
          <w:ilvl w:val="0"/>
          <w:numId w:val="4"/>
        </w:numPr>
        <w:jc w:val="both"/>
        <w:rPr>
          <w:rFonts w:ascii="Times New Roman" w:eastAsia="Times New Roman" w:hAnsi="Times New Roman" w:cs="Times New Roman"/>
          <w:b/>
        </w:rPr>
      </w:pPr>
      <w:r>
        <w:rPr>
          <w:rFonts w:ascii="Times New Roman" w:eastAsia="Times New Roman" w:hAnsi="Times New Roman" w:cs="Times New Roman"/>
        </w:rPr>
        <w:t>Bu projenin çıktıları değerlendirilerek TAP Vakfı’nın sonraki geliştirebileceği çalışmaları için mevcut durum ve bağlam göz önüne alınarak kanıta dayalı tavsiyelerde bulunulması,  </w:t>
      </w:r>
    </w:p>
    <w:p w14:paraId="4237619A" w14:textId="77777777" w:rsidR="002A58B4" w:rsidRDefault="00E056B7">
      <w:pPr>
        <w:numPr>
          <w:ilvl w:val="0"/>
          <w:numId w:val="4"/>
        </w:numPr>
        <w:jc w:val="both"/>
        <w:rPr>
          <w:rFonts w:ascii="Times New Roman" w:eastAsia="Times New Roman" w:hAnsi="Times New Roman" w:cs="Times New Roman"/>
          <w:b/>
        </w:rPr>
      </w:pPr>
      <w:r>
        <w:rPr>
          <w:rFonts w:ascii="Times New Roman" w:eastAsia="Times New Roman" w:hAnsi="Times New Roman" w:cs="Times New Roman"/>
        </w:rPr>
        <w:t>Aşağıdaki planlamaya uygun bölümlerin içerilmesi: </w:t>
      </w:r>
    </w:p>
    <w:p w14:paraId="61A816B4"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 Özet (İzleme ve Değerlendirme Çalışmasının ve Bulguların Özeti)</w:t>
      </w:r>
    </w:p>
    <w:p w14:paraId="087BD55B"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 Giriş </w:t>
      </w:r>
    </w:p>
    <w:p w14:paraId="11B4AEFF"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 Metodoloji ( İzleme ve Değerlendirme Planı, izlenen yöntem ve kullanılan araçlar)</w:t>
      </w:r>
    </w:p>
    <w:p w14:paraId="5BAA232F"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 İzleme ve Değerlendirme Çalışmalarının Bulguları</w:t>
      </w:r>
    </w:p>
    <w:p w14:paraId="2914A4E8"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 Öğrenilen dersler, sonuç, tavsiyeler ve iyi uygulamalar</w:t>
      </w:r>
    </w:p>
    <w:p w14:paraId="1807222A" w14:textId="77777777" w:rsidR="002A58B4" w:rsidRDefault="002A58B4">
      <w:pPr>
        <w:jc w:val="both"/>
        <w:rPr>
          <w:rFonts w:ascii="Times New Roman" w:eastAsia="Times New Roman" w:hAnsi="Times New Roman" w:cs="Times New Roman"/>
        </w:rPr>
      </w:pPr>
    </w:p>
    <w:p w14:paraId="64B65C7A" w14:textId="59240C74" w:rsidR="002A58B4" w:rsidRPr="00C1266D" w:rsidRDefault="00E056B7" w:rsidP="00C1266D">
      <w:pPr>
        <w:pStyle w:val="ListeParagraf"/>
        <w:numPr>
          <w:ilvl w:val="0"/>
          <w:numId w:val="2"/>
        </w:numPr>
        <w:jc w:val="both"/>
        <w:rPr>
          <w:rFonts w:ascii="Times New Roman" w:eastAsia="Times New Roman" w:hAnsi="Times New Roman" w:cs="Times New Roman"/>
          <w:b/>
        </w:rPr>
      </w:pPr>
      <w:r w:rsidRPr="00C1266D">
        <w:rPr>
          <w:rFonts w:ascii="Times New Roman" w:eastAsia="Times New Roman" w:hAnsi="Times New Roman" w:cs="Times New Roman"/>
          <w:b/>
        </w:rPr>
        <w:lastRenderedPageBreak/>
        <w:t>Beklenen Yetkinlik ve Özellikler </w:t>
      </w:r>
    </w:p>
    <w:p w14:paraId="4306AF81"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İlgili hizmeti sunacak kişi ya da kurumdan beklenen özellik ve yetkinlikler aşağıdaki gibidir:</w:t>
      </w:r>
    </w:p>
    <w:p w14:paraId="7287B303"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İlgili uzmanın proje yönetimi ve izleme ve değerlendirme süreçlerine ilişkin en az 3 yıllık deneyiminin bulunması, </w:t>
      </w:r>
    </w:p>
    <w:p w14:paraId="17D074C9" w14:textId="2BBC3BA3" w:rsidR="002A58B4" w:rsidRDefault="00E056B7">
      <w:pPr>
        <w:jc w:val="both"/>
        <w:rPr>
          <w:rFonts w:ascii="Times New Roman" w:eastAsia="Times New Roman" w:hAnsi="Times New Roman" w:cs="Times New Roman"/>
        </w:rPr>
      </w:pPr>
      <w:r>
        <w:rPr>
          <w:rFonts w:ascii="Times New Roman" w:eastAsia="Times New Roman" w:hAnsi="Times New Roman" w:cs="Times New Roman"/>
        </w:rPr>
        <w:t>• İlgili uzmanın izleme ve değerlendirme süreçlerinde en az 3 yıl aktif olarak yer almış olması, </w:t>
      </w:r>
    </w:p>
    <w:p w14:paraId="331CFC1E" w14:textId="43F06038" w:rsidR="002A58B4" w:rsidRDefault="00E056B7">
      <w:pPr>
        <w:jc w:val="both"/>
        <w:rPr>
          <w:rFonts w:ascii="Times New Roman" w:eastAsia="Times New Roman" w:hAnsi="Times New Roman" w:cs="Times New Roman"/>
        </w:rPr>
      </w:pPr>
      <w:r>
        <w:rPr>
          <w:rFonts w:ascii="Times New Roman" w:eastAsia="Times New Roman" w:hAnsi="Times New Roman" w:cs="Times New Roman"/>
        </w:rPr>
        <w:t>• İnsan hakları, kadına yönelik şiddet ve toplumsal cinsiyet alanlarında</w:t>
      </w:r>
      <w:r w:rsidR="00F91EEF">
        <w:rPr>
          <w:rFonts w:ascii="Times New Roman" w:eastAsia="Times New Roman" w:hAnsi="Times New Roman" w:cs="Times New Roman"/>
        </w:rPr>
        <w:t xml:space="preserve"> en az 3 yıl</w:t>
      </w:r>
      <w:r>
        <w:rPr>
          <w:rFonts w:ascii="Times New Roman" w:eastAsia="Times New Roman" w:hAnsi="Times New Roman" w:cs="Times New Roman"/>
        </w:rPr>
        <w:t xml:space="preserve"> çalışma deneyiminin olması(tercihen), </w:t>
      </w:r>
    </w:p>
    <w:p w14:paraId="7A00CE1B" w14:textId="5069E2E5" w:rsidR="002A58B4" w:rsidRDefault="00E056B7">
      <w:pPr>
        <w:jc w:val="both"/>
        <w:rPr>
          <w:rFonts w:ascii="Times New Roman" w:eastAsia="Times New Roman" w:hAnsi="Times New Roman" w:cs="Times New Roman"/>
        </w:rPr>
      </w:pPr>
      <w:r>
        <w:rPr>
          <w:rFonts w:ascii="Times New Roman" w:eastAsia="Times New Roman" w:hAnsi="Times New Roman" w:cs="Times New Roman"/>
        </w:rPr>
        <w:t>• Sivil toplum kuruluşları ile</w:t>
      </w:r>
      <w:r w:rsidR="00F91EEF">
        <w:rPr>
          <w:rFonts w:ascii="Times New Roman" w:eastAsia="Times New Roman" w:hAnsi="Times New Roman" w:cs="Times New Roman"/>
        </w:rPr>
        <w:t xml:space="preserve"> en az 2 yıl</w:t>
      </w:r>
      <w:r>
        <w:rPr>
          <w:rFonts w:ascii="Times New Roman" w:eastAsia="Times New Roman" w:hAnsi="Times New Roman" w:cs="Times New Roman"/>
        </w:rPr>
        <w:t xml:space="preserve"> çalışma deneyiminin bulunması.</w:t>
      </w:r>
    </w:p>
    <w:p w14:paraId="0BEFDF64" w14:textId="77777777" w:rsidR="002A58B4" w:rsidRDefault="002A58B4">
      <w:pPr>
        <w:jc w:val="both"/>
        <w:rPr>
          <w:rFonts w:ascii="Times New Roman" w:eastAsia="Times New Roman" w:hAnsi="Times New Roman" w:cs="Times New Roman"/>
        </w:rPr>
      </w:pPr>
    </w:p>
    <w:p w14:paraId="0C59C34B" w14:textId="780560C0" w:rsidR="002A58B4" w:rsidRPr="00C1266D" w:rsidRDefault="00E056B7" w:rsidP="00C1266D">
      <w:pPr>
        <w:pStyle w:val="ListeParagraf"/>
        <w:numPr>
          <w:ilvl w:val="0"/>
          <w:numId w:val="2"/>
        </w:numPr>
        <w:jc w:val="both"/>
        <w:rPr>
          <w:rFonts w:ascii="Times New Roman" w:eastAsia="Times New Roman" w:hAnsi="Times New Roman" w:cs="Times New Roman"/>
          <w:b/>
        </w:rPr>
      </w:pPr>
      <w:r w:rsidRPr="00C1266D">
        <w:rPr>
          <w:rFonts w:ascii="Times New Roman" w:eastAsia="Times New Roman" w:hAnsi="Times New Roman" w:cs="Times New Roman"/>
          <w:b/>
        </w:rPr>
        <w:t>Şartlar ve Koşullar</w:t>
      </w:r>
    </w:p>
    <w:p w14:paraId="6AA5BE0E" w14:textId="1F6399CC"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Detaylı teknik ve fiyatlandırma bilgilerini içeren teklif, teknik teklif ve finansal teklif </w:t>
      </w:r>
      <w:r>
        <w:rPr>
          <w:rFonts w:ascii="Times New Roman" w:eastAsia="Times New Roman" w:hAnsi="Times New Roman" w:cs="Times New Roman"/>
          <w:b/>
        </w:rPr>
        <w:t xml:space="preserve">ayrı </w:t>
      </w:r>
      <w:r>
        <w:rPr>
          <w:rFonts w:ascii="Times New Roman" w:eastAsia="Times New Roman" w:hAnsi="Times New Roman" w:cs="Times New Roman"/>
        </w:rPr>
        <w:t xml:space="preserve">belgelerde hazırlanmış olmak üzere </w:t>
      </w:r>
      <w:r w:rsidR="00966022">
        <w:rPr>
          <w:rFonts w:ascii="Times New Roman" w:eastAsia="Times New Roman" w:hAnsi="Times New Roman" w:cs="Times New Roman"/>
          <w:b/>
          <w:bCs/>
        </w:rPr>
        <w:t>10</w:t>
      </w:r>
      <w:r w:rsidR="000F74BA" w:rsidRPr="000F74BA">
        <w:rPr>
          <w:rFonts w:ascii="Times New Roman" w:eastAsia="Times New Roman" w:hAnsi="Times New Roman" w:cs="Times New Roman"/>
          <w:b/>
          <w:bCs/>
        </w:rPr>
        <w:t>.08.2025</w:t>
      </w:r>
      <w:r>
        <w:rPr>
          <w:rFonts w:ascii="Times New Roman" w:eastAsia="Times New Roman" w:hAnsi="Times New Roman" w:cs="Times New Roman"/>
          <w:b/>
        </w:rPr>
        <w:t xml:space="preserve"> tarihi, saat 17:00</w:t>
      </w:r>
      <w:r>
        <w:rPr>
          <w:rFonts w:ascii="Times New Roman" w:eastAsia="Times New Roman" w:hAnsi="Times New Roman" w:cs="Times New Roman"/>
        </w:rPr>
        <w:t xml:space="preserve">’ye kadar </w:t>
      </w:r>
      <w:r>
        <w:rPr>
          <w:rFonts w:ascii="Times New Roman" w:eastAsia="Times New Roman" w:hAnsi="Times New Roman" w:cs="Times New Roman"/>
          <w:b/>
        </w:rPr>
        <w:t xml:space="preserve">teklif.kutusu@tapv.org.tr </w:t>
      </w:r>
      <w:r>
        <w:rPr>
          <w:rFonts w:ascii="Times New Roman" w:eastAsia="Times New Roman" w:hAnsi="Times New Roman" w:cs="Times New Roman"/>
        </w:rPr>
        <w:t xml:space="preserve">e-posta adresine gönderilmelidir. E-postanın konu başlığına ihalenin referans numarası </w:t>
      </w:r>
      <w:r w:rsidRPr="000F74BA">
        <w:rPr>
          <w:rFonts w:ascii="Times New Roman" w:eastAsia="Times New Roman" w:hAnsi="Times New Roman" w:cs="Times New Roman"/>
        </w:rPr>
        <w:t xml:space="preserve">olan </w:t>
      </w:r>
      <w:r w:rsidRPr="000F74BA">
        <w:rPr>
          <w:rFonts w:ascii="Times New Roman" w:eastAsia="Times New Roman" w:hAnsi="Times New Roman" w:cs="Times New Roman"/>
          <w:b/>
        </w:rPr>
        <w:t>REF:UNW-2025-00</w:t>
      </w:r>
      <w:r w:rsidR="000F74BA" w:rsidRPr="000F74BA">
        <w:rPr>
          <w:rFonts w:ascii="Times New Roman" w:eastAsia="Times New Roman" w:hAnsi="Times New Roman" w:cs="Times New Roman"/>
          <w:b/>
        </w:rPr>
        <w:t>9</w:t>
      </w:r>
      <w:r w:rsidR="00966022">
        <w:rPr>
          <w:rFonts w:ascii="Times New Roman" w:eastAsia="Times New Roman" w:hAnsi="Times New Roman" w:cs="Times New Roman"/>
          <w:b/>
        </w:rPr>
        <w:t>9</w:t>
      </w:r>
      <w:r w:rsidRPr="000F74BA">
        <w:rPr>
          <w:rFonts w:ascii="Times New Roman" w:eastAsia="Times New Roman" w:hAnsi="Times New Roman" w:cs="Times New Roman"/>
        </w:rPr>
        <w:t xml:space="preserve"> ibaresi yazılmalıdır.</w:t>
      </w:r>
      <w:r>
        <w:rPr>
          <w:rFonts w:ascii="Times New Roman" w:eastAsia="Times New Roman" w:hAnsi="Times New Roman" w:cs="Times New Roman"/>
        </w:rPr>
        <w:t> </w:t>
      </w:r>
    </w:p>
    <w:p w14:paraId="7379068F" w14:textId="77777777" w:rsidR="002A58B4" w:rsidRDefault="002A58B4">
      <w:pPr>
        <w:jc w:val="both"/>
        <w:rPr>
          <w:rFonts w:ascii="Times New Roman" w:eastAsia="Times New Roman" w:hAnsi="Times New Roman" w:cs="Times New Roman"/>
        </w:rPr>
      </w:pPr>
    </w:p>
    <w:p w14:paraId="04FD963C"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Başvuru sahibi teklifinde yer alan fiyatlandırmayı Türk Lirası cinsinden ve birim fiyat, toplam tutar   </w:t>
      </w:r>
      <w:r>
        <w:rPr>
          <w:rFonts w:ascii="Times New Roman" w:eastAsia="Times New Roman" w:hAnsi="Times New Roman" w:cs="Times New Roman"/>
          <w:u w:val="single"/>
        </w:rPr>
        <w:t>KDV dahil olacak şekilde</w:t>
      </w:r>
      <w:r>
        <w:rPr>
          <w:rFonts w:ascii="Times New Roman" w:eastAsia="Times New Roman" w:hAnsi="Times New Roman" w:cs="Times New Roman"/>
        </w:rPr>
        <w:t xml:space="preserve"> yapmalıdır.  </w:t>
      </w:r>
    </w:p>
    <w:p w14:paraId="0F79400F" w14:textId="77777777" w:rsidR="002A58B4" w:rsidRDefault="002A58B4">
      <w:pPr>
        <w:jc w:val="both"/>
        <w:rPr>
          <w:rFonts w:ascii="Times New Roman" w:eastAsia="Times New Roman" w:hAnsi="Times New Roman" w:cs="Times New Roman"/>
        </w:rPr>
      </w:pPr>
    </w:p>
    <w:p w14:paraId="399B4522"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Başvuru Sahibinin, teklifinin kabul edilmesi durumunda “Hizmet Sözleşmesi” imzalanacaktır. Söz konusu Hizmet Sözleşmesi dışında Hizmet Sağlayıcı kuruma ait başka bir sözleşme imzalanmayacaktır. </w:t>
      </w:r>
    </w:p>
    <w:p w14:paraId="14B80059" w14:textId="77777777" w:rsidR="002A58B4" w:rsidRDefault="002A58B4">
      <w:pPr>
        <w:jc w:val="both"/>
        <w:rPr>
          <w:rFonts w:ascii="Times New Roman" w:eastAsia="Times New Roman" w:hAnsi="Times New Roman" w:cs="Times New Roman"/>
        </w:rPr>
      </w:pPr>
    </w:p>
    <w:p w14:paraId="71F20562"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Bu iş tanımı kapsamında hazırlanacak olan tüm çıktıların tüm mülkiyeti ve kullanım hakkı; TAPV’ye aittir.</w:t>
      </w:r>
    </w:p>
    <w:p w14:paraId="7052ABED" w14:textId="726FAE65" w:rsidR="002A58B4" w:rsidRDefault="00E056B7">
      <w:pPr>
        <w:jc w:val="both"/>
        <w:rPr>
          <w:rFonts w:ascii="Times New Roman" w:eastAsia="Times New Roman" w:hAnsi="Times New Roman" w:cs="Times New Roman"/>
        </w:rPr>
      </w:pPr>
      <w:r w:rsidRPr="006E67AA">
        <w:rPr>
          <w:rFonts w:ascii="Times New Roman" w:eastAsia="Times New Roman" w:hAnsi="Times New Roman" w:cs="Times New Roman"/>
        </w:rPr>
        <w:t xml:space="preserve">Yapılacak  başvurular için, teklif formları başvuru sahibi yetkili kişisi tarafından imzalı ve kaşeli olarak sunulmalıdır. Teklifte imza-kaşesi bulunan kişinin fatura kesebilmesi zorunludur.  </w:t>
      </w:r>
    </w:p>
    <w:p w14:paraId="2E9A88A0"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İlgili teklifin değerlendirmeye alınabilmesi için Teklif Sahibi’nin aşağıdaki belgeleri iletmesi gerekmektedir. </w:t>
      </w:r>
    </w:p>
    <w:p w14:paraId="797840C2" w14:textId="77777777" w:rsidR="002A58B4" w:rsidRDefault="00E056B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Tedarikçi Bilgi Formu ( Ek 2- Tedarikçi Bilgi Formu)</w:t>
      </w:r>
    </w:p>
    <w:p w14:paraId="15593C21" w14:textId="77777777" w:rsidR="002A58B4" w:rsidRDefault="00E056B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Profil ve Özgeçmişler: Kurumun ve/veya uzmanın Ekipte yer alan tüm uzmanların özgeçmişleri benzeri geçmiş izleme ve değerlendirme çalışmalarını ya da projelerini içerecek şekilde sunulmalıdır.</w:t>
      </w:r>
    </w:p>
    <w:p w14:paraId="1B6475F6" w14:textId="77777777" w:rsidR="002A58B4" w:rsidRDefault="00E056B7">
      <w:pPr>
        <w:numPr>
          <w:ilvl w:val="0"/>
          <w:numId w:val="1"/>
        </w:numPr>
        <w:jc w:val="both"/>
        <w:rPr>
          <w:rFonts w:ascii="Times New Roman" w:eastAsia="Times New Roman" w:hAnsi="Times New Roman" w:cs="Times New Roman"/>
        </w:rPr>
      </w:pPr>
      <w:r>
        <w:rPr>
          <w:rFonts w:ascii="Times New Roman" w:eastAsia="Times New Roman" w:hAnsi="Times New Roman" w:cs="Times New Roman"/>
        </w:rPr>
        <w:t>İzleme ve Değerlendirme Çalışma Planı: Format ve içerik sunulacak olan izleme ve değerlendirme çalışma planı izleme değerlendirme tablosundaki açıklanan çerçeveye uygun ve belirtilen amaçlara hizmet edecek şekilde yapılandırılmalıdır. Teklif sahipleri, ilgili planı oluştururken projenin ana hedefi, özel hedefleri ve temel etkinliklerini göz önünde bulundurmalı ve çalışma planında ilgili hedeflerin göstergeler bağlamında nasıl bir izleme ve değerlendirme sürecine tabi tutulacağını belirtmelidir. </w:t>
      </w:r>
    </w:p>
    <w:p w14:paraId="780E2C24"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Çalışma planı teklif sahibinin izleme ve değerlendirme çalışmalarını nasıl yürüteceğine, projenin hedeflerini göz önüne alarak ne gibi izleme ve değerlendirme araçlarının geliştirilmesinin planlandığına, ve raporlama formatlarının nasıl oluşturulacağına ilişkin detaylı bilgi içermelidir. </w:t>
      </w:r>
      <w:r>
        <w:rPr>
          <w:rFonts w:ascii="Times New Roman" w:eastAsia="Times New Roman" w:hAnsi="Times New Roman" w:cs="Times New Roman"/>
          <w:u w:val="single"/>
        </w:rPr>
        <w:t xml:space="preserve">İlgili çalışma planı </w:t>
      </w:r>
      <w:r>
        <w:rPr>
          <w:rFonts w:ascii="Times New Roman" w:eastAsia="Times New Roman" w:hAnsi="Times New Roman" w:cs="Times New Roman"/>
          <w:u w:val="single"/>
        </w:rPr>
        <w:lastRenderedPageBreak/>
        <w:t>oluşturulurken, EK 3’te yer alan çerçeve dikkate alınmalı ve ilgili gösterge, aktivite ve hedeflere yönelik bir çalışma planı ve çalışma takvimi oluşturulmalıdır. </w:t>
      </w:r>
    </w:p>
    <w:p w14:paraId="52C04FBF"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Çalışmanın aşamaları ve TAPV’nin sunduğu iş/gün sayısı göz önüne alınarak, bir zaman çizelgesi oluşturulmalıdır. </w:t>
      </w:r>
      <w:r>
        <w:rPr>
          <w:rFonts w:ascii="Times New Roman" w:eastAsia="Times New Roman" w:hAnsi="Times New Roman" w:cs="Times New Roman"/>
          <w:u w:val="single"/>
        </w:rPr>
        <w:t>TAPV bu şartnamede belirtilen izleme ve değerlendirme hizmetinin projenin bitiş tarihi göz önüne alınarak, toplam 20 iş gününde bitirilmesini beklemektedir.</w:t>
      </w:r>
      <w:r>
        <w:rPr>
          <w:rFonts w:ascii="Times New Roman" w:eastAsia="Times New Roman" w:hAnsi="Times New Roman" w:cs="Times New Roman"/>
        </w:rPr>
        <w:t> </w:t>
      </w:r>
    </w:p>
    <w:p w14:paraId="36C0372B" w14:textId="77777777" w:rsidR="002A58B4" w:rsidRDefault="00E056B7">
      <w:pPr>
        <w:numPr>
          <w:ilvl w:val="0"/>
          <w:numId w:val="16"/>
        </w:numPr>
        <w:jc w:val="both"/>
        <w:rPr>
          <w:rFonts w:ascii="Times New Roman" w:eastAsia="Times New Roman" w:hAnsi="Times New Roman" w:cs="Times New Roman"/>
        </w:rPr>
      </w:pPr>
      <w:r>
        <w:rPr>
          <w:rFonts w:ascii="Times New Roman" w:eastAsia="Times New Roman" w:hAnsi="Times New Roman" w:cs="Times New Roman"/>
        </w:rPr>
        <w:t>Finansal Teklif: Çalışmanın bütçesi Finansal Teklif Formunda sunulan formata uygun olarak hazırlanmalı ve sunulmalıdır. (EK 1’de sunulan formu kullanınız.) </w:t>
      </w:r>
    </w:p>
    <w:p w14:paraId="07112BDD"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br/>
      </w:r>
    </w:p>
    <w:p w14:paraId="38CC7C73" w14:textId="01962249" w:rsidR="002A58B4" w:rsidRPr="00C1266D" w:rsidRDefault="00E056B7" w:rsidP="00C1266D">
      <w:pPr>
        <w:pStyle w:val="ListeParagraf"/>
        <w:numPr>
          <w:ilvl w:val="0"/>
          <w:numId w:val="2"/>
        </w:numPr>
        <w:jc w:val="both"/>
        <w:rPr>
          <w:rFonts w:ascii="Times New Roman" w:eastAsia="Times New Roman" w:hAnsi="Times New Roman" w:cs="Times New Roman"/>
          <w:b/>
        </w:rPr>
      </w:pPr>
      <w:r w:rsidRPr="00C1266D">
        <w:rPr>
          <w:rFonts w:ascii="Times New Roman" w:eastAsia="Times New Roman" w:hAnsi="Times New Roman" w:cs="Times New Roman"/>
          <w:b/>
        </w:rPr>
        <w:t>TEKLİFLERİN DEĞERLENDİRİLMESİ </w:t>
      </w:r>
    </w:p>
    <w:p w14:paraId="17CF2657"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i/>
        </w:rPr>
        <w:t>Teklifler “Teknik Değerlendirme” ve “Mali Değerlendirme” olmak üzere iki ayrı değerlendirmeye tabii tutulacaktır. Teknik değerlendirme puanı 100 üzerinden 75 puandan düşük olan teklifler mali değerlendirmeye alınmayacaktır. </w:t>
      </w:r>
    </w:p>
    <w:p w14:paraId="00FE93ED"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Değerlendirme kriterleri aşağıda belirtilmiştir:</w:t>
      </w:r>
    </w:p>
    <w:p w14:paraId="417DA70A"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a. Kurum profili ve uzman/ların deneyimi: %40 </w:t>
      </w:r>
    </w:p>
    <w:p w14:paraId="0C7E1077"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b. İzleme ve değerlendirme çalışma planı: %30 </w:t>
      </w:r>
    </w:p>
    <w:p w14:paraId="5B4A5E66"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c. Finansal Teklif: %30</w:t>
      </w:r>
    </w:p>
    <w:p w14:paraId="4F145F99"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br/>
      </w:r>
    </w:p>
    <w:p w14:paraId="5BA443AD" w14:textId="01D6C986" w:rsidR="002A58B4" w:rsidRPr="00C1266D" w:rsidRDefault="00E056B7" w:rsidP="00C1266D">
      <w:pPr>
        <w:pStyle w:val="ListeParagraf"/>
        <w:numPr>
          <w:ilvl w:val="0"/>
          <w:numId w:val="2"/>
        </w:numPr>
        <w:jc w:val="both"/>
        <w:rPr>
          <w:rFonts w:ascii="Times New Roman" w:eastAsia="Times New Roman" w:hAnsi="Times New Roman" w:cs="Times New Roman"/>
          <w:b/>
        </w:rPr>
      </w:pPr>
      <w:r w:rsidRPr="00C1266D">
        <w:rPr>
          <w:rFonts w:ascii="Times New Roman" w:eastAsia="Times New Roman" w:hAnsi="Times New Roman" w:cs="Times New Roman"/>
          <w:b/>
        </w:rPr>
        <w:t>TAKVİM VE İŞİN TESLİMİ </w:t>
      </w:r>
    </w:p>
    <w:p w14:paraId="47C52E8C" w14:textId="24921BE3" w:rsidR="002A58B4" w:rsidRDefault="00E056B7">
      <w:pPr>
        <w:jc w:val="both"/>
        <w:rPr>
          <w:rFonts w:ascii="Times New Roman" w:eastAsia="Times New Roman" w:hAnsi="Times New Roman" w:cs="Times New Roman"/>
          <w:highlight w:val="yellow"/>
        </w:rPr>
      </w:pPr>
      <w:r>
        <w:rPr>
          <w:rFonts w:ascii="Times New Roman" w:eastAsia="Times New Roman" w:hAnsi="Times New Roman" w:cs="Times New Roman"/>
        </w:rPr>
        <w:t>Teklif</w:t>
      </w:r>
      <w:r w:rsidR="00F91EEF">
        <w:rPr>
          <w:rFonts w:ascii="Times New Roman" w:eastAsia="Times New Roman" w:hAnsi="Times New Roman" w:cs="Times New Roman"/>
        </w:rPr>
        <w:t>in Yayınlanması</w:t>
      </w:r>
      <w:r>
        <w:rPr>
          <w:rFonts w:ascii="Times New Roman" w:eastAsia="Times New Roman" w:hAnsi="Times New Roman" w:cs="Times New Roman"/>
        </w:rPr>
        <w:t>: 2</w:t>
      </w:r>
      <w:r w:rsidR="00F91EEF">
        <w:rPr>
          <w:rFonts w:ascii="Times New Roman" w:eastAsia="Times New Roman" w:hAnsi="Times New Roman" w:cs="Times New Roman"/>
        </w:rPr>
        <w:t>9</w:t>
      </w:r>
      <w:r>
        <w:rPr>
          <w:rFonts w:ascii="Times New Roman" w:eastAsia="Times New Roman" w:hAnsi="Times New Roman" w:cs="Times New Roman"/>
        </w:rPr>
        <w:t>.0</w:t>
      </w:r>
      <w:r w:rsidR="00F91EEF">
        <w:rPr>
          <w:rFonts w:ascii="Times New Roman" w:eastAsia="Times New Roman" w:hAnsi="Times New Roman" w:cs="Times New Roman"/>
        </w:rPr>
        <w:t>7</w:t>
      </w:r>
      <w:r>
        <w:rPr>
          <w:rFonts w:ascii="Times New Roman" w:eastAsia="Times New Roman" w:hAnsi="Times New Roman" w:cs="Times New Roman"/>
        </w:rPr>
        <w:t>.2025</w:t>
      </w:r>
    </w:p>
    <w:p w14:paraId="72977D82" w14:textId="6E74B96E" w:rsidR="002A58B4" w:rsidRDefault="00E056B7">
      <w:pPr>
        <w:jc w:val="both"/>
        <w:rPr>
          <w:rFonts w:ascii="Times New Roman" w:eastAsia="Times New Roman" w:hAnsi="Times New Roman" w:cs="Times New Roman"/>
        </w:rPr>
      </w:pPr>
      <w:r>
        <w:rPr>
          <w:rFonts w:ascii="Times New Roman" w:eastAsia="Times New Roman" w:hAnsi="Times New Roman" w:cs="Times New Roman"/>
        </w:rPr>
        <w:t>Tekliflerin Teslimi:</w:t>
      </w:r>
      <w:r w:rsidR="00966022">
        <w:rPr>
          <w:rFonts w:ascii="Times New Roman" w:eastAsia="Times New Roman" w:hAnsi="Times New Roman" w:cs="Times New Roman"/>
        </w:rPr>
        <w:t>10</w:t>
      </w:r>
      <w:r>
        <w:rPr>
          <w:rFonts w:ascii="Times New Roman" w:eastAsia="Times New Roman" w:hAnsi="Times New Roman" w:cs="Times New Roman"/>
        </w:rPr>
        <w:t>.0</w:t>
      </w:r>
      <w:r w:rsidR="00F91EEF">
        <w:rPr>
          <w:rFonts w:ascii="Times New Roman" w:eastAsia="Times New Roman" w:hAnsi="Times New Roman" w:cs="Times New Roman"/>
        </w:rPr>
        <w:t>8</w:t>
      </w:r>
      <w:r>
        <w:rPr>
          <w:rFonts w:ascii="Times New Roman" w:eastAsia="Times New Roman" w:hAnsi="Times New Roman" w:cs="Times New Roman"/>
        </w:rPr>
        <w:t>.2025</w:t>
      </w:r>
    </w:p>
    <w:p w14:paraId="38B6DD76" w14:textId="41885426" w:rsidR="002A58B4" w:rsidRDefault="00E056B7">
      <w:pPr>
        <w:jc w:val="both"/>
        <w:rPr>
          <w:rFonts w:ascii="Times New Roman" w:eastAsia="Times New Roman" w:hAnsi="Times New Roman" w:cs="Times New Roman"/>
          <w:highlight w:val="yellow"/>
        </w:rPr>
      </w:pPr>
      <w:r>
        <w:rPr>
          <w:rFonts w:ascii="Times New Roman" w:eastAsia="Times New Roman" w:hAnsi="Times New Roman" w:cs="Times New Roman"/>
        </w:rPr>
        <w:t>Tekliflerin Değerlendirilmesi: 1</w:t>
      </w:r>
      <w:r w:rsidR="00966022">
        <w:rPr>
          <w:rFonts w:ascii="Times New Roman" w:eastAsia="Times New Roman" w:hAnsi="Times New Roman" w:cs="Times New Roman"/>
        </w:rPr>
        <w:t>3</w:t>
      </w:r>
      <w:r>
        <w:rPr>
          <w:rFonts w:ascii="Times New Roman" w:eastAsia="Times New Roman" w:hAnsi="Times New Roman" w:cs="Times New Roman"/>
        </w:rPr>
        <w:t>.0</w:t>
      </w:r>
      <w:r w:rsidR="00D219D3">
        <w:rPr>
          <w:rFonts w:ascii="Times New Roman" w:eastAsia="Times New Roman" w:hAnsi="Times New Roman" w:cs="Times New Roman"/>
        </w:rPr>
        <w:t>8</w:t>
      </w:r>
      <w:r>
        <w:rPr>
          <w:rFonts w:ascii="Times New Roman" w:eastAsia="Times New Roman" w:hAnsi="Times New Roman" w:cs="Times New Roman"/>
        </w:rPr>
        <w:t>.2025</w:t>
      </w:r>
    </w:p>
    <w:p w14:paraId="5A5ACDCF" w14:textId="31F84E54" w:rsidR="002A58B4" w:rsidRDefault="00E056B7">
      <w:pPr>
        <w:jc w:val="both"/>
        <w:rPr>
          <w:rFonts w:ascii="Times New Roman" w:eastAsia="Times New Roman" w:hAnsi="Times New Roman" w:cs="Times New Roman"/>
        </w:rPr>
      </w:pPr>
      <w:r>
        <w:rPr>
          <w:rFonts w:ascii="Times New Roman" w:eastAsia="Times New Roman" w:hAnsi="Times New Roman" w:cs="Times New Roman"/>
        </w:rPr>
        <w:t>Hizmet Sağlayıcının Açıklanması: 1</w:t>
      </w:r>
      <w:r w:rsidR="00D219D3">
        <w:rPr>
          <w:rFonts w:ascii="Times New Roman" w:eastAsia="Times New Roman" w:hAnsi="Times New Roman" w:cs="Times New Roman"/>
        </w:rPr>
        <w:t>3</w:t>
      </w:r>
      <w:r>
        <w:rPr>
          <w:rFonts w:ascii="Times New Roman" w:eastAsia="Times New Roman" w:hAnsi="Times New Roman" w:cs="Times New Roman"/>
        </w:rPr>
        <w:t>.0</w:t>
      </w:r>
      <w:r w:rsidR="00D219D3">
        <w:rPr>
          <w:rFonts w:ascii="Times New Roman" w:eastAsia="Times New Roman" w:hAnsi="Times New Roman" w:cs="Times New Roman"/>
        </w:rPr>
        <w:t>8</w:t>
      </w:r>
      <w:r>
        <w:rPr>
          <w:rFonts w:ascii="Times New Roman" w:eastAsia="Times New Roman" w:hAnsi="Times New Roman" w:cs="Times New Roman"/>
        </w:rPr>
        <w:t>.2025</w:t>
      </w:r>
    </w:p>
    <w:p w14:paraId="68966526" w14:textId="75F9EB77" w:rsidR="002A58B4" w:rsidRDefault="00E056B7">
      <w:pPr>
        <w:jc w:val="both"/>
        <w:rPr>
          <w:rFonts w:ascii="Times New Roman" w:eastAsia="Times New Roman" w:hAnsi="Times New Roman" w:cs="Times New Roman"/>
          <w:highlight w:val="yellow"/>
        </w:rPr>
      </w:pPr>
      <w:r>
        <w:rPr>
          <w:rFonts w:ascii="Times New Roman" w:eastAsia="Times New Roman" w:hAnsi="Times New Roman" w:cs="Times New Roman"/>
        </w:rPr>
        <w:t>Sözleşmenin İmzalanması: 14.0</w:t>
      </w:r>
      <w:r w:rsidR="00D219D3">
        <w:rPr>
          <w:rFonts w:ascii="Times New Roman" w:eastAsia="Times New Roman" w:hAnsi="Times New Roman" w:cs="Times New Roman"/>
        </w:rPr>
        <w:t>8</w:t>
      </w:r>
      <w:r>
        <w:rPr>
          <w:rFonts w:ascii="Times New Roman" w:eastAsia="Times New Roman" w:hAnsi="Times New Roman" w:cs="Times New Roman"/>
        </w:rPr>
        <w:t>.2025</w:t>
      </w:r>
    </w:p>
    <w:p w14:paraId="6CB352AC" w14:textId="4989620A" w:rsidR="002A58B4" w:rsidRDefault="00E056B7">
      <w:pPr>
        <w:jc w:val="both"/>
        <w:rPr>
          <w:rFonts w:ascii="Times New Roman" w:eastAsia="Times New Roman" w:hAnsi="Times New Roman" w:cs="Times New Roman"/>
        </w:rPr>
      </w:pPr>
      <w:r>
        <w:rPr>
          <w:rFonts w:ascii="Times New Roman" w:eastAsia="Times New Roman" w:hAnsi="Times New Roman" w:cs="Times New Roman"/>
        </w:rPr>
        <w:t>Çevrimiçi Brief ve İlk İzleme ve Değerlendirme Planına İlişkin Geribildirim ve Önerilerin Sunulması (TAPV &amp; Teklif Sahibi): 1</w:t>
      </w:r>
      <w:r w:rsidR="00D219D3">
        <w:rPr>
          <w:rFonts w:ascii="Times New Roman" w:eastAsia="Times New Roman" w:hAnsi="Times New Roman" w:cs="Times New Roman"/>
        </w:rPr>
        <w:t>5</w:t>
      </w:r>
      <w:r>
        <w:rPr>
          <w:rFonts w:ascii="Times New Roman" w:eastAsia="Times New Roman" w:hAnsi="Times New Roman" w:cs="Times New Roman"/>
        </w:rPr>
        <w:t>.0</w:t>
      </w:r>
      <w:r w:rsidR="00434AD2">
        <w:rPr>
          <w:rFonts w:ascii="Times New Roman" w:eastAsia="Times New Roman" w:hAnsi="Times New Roman" w:cs="Times New Roman"/>
        </w:rPr>
        <w:t>8</w:t>
      </w:r>
      <w:r>
        <w:rPr>
          <w:rFonts w:ascii="Times New Roman" w:eastAsia="Times New Roman" w:hAnsi="Times New Roman" w:cs="Times New Roman"/>
        </w:rPr>
        <w:t>.2025</w:t>
      </w:r>
    </w:p>
    <w:p w14:paraId="748CC166" w14:textId="77777777" w:rsidR="00966022" w:rsidRDefault="00966022">
      <w:pPr>
        <w:jc w:val="both"/>
        <w:rPr>
          <w:rFonts w:ascii="Times New Roman" w:eastAsia="Times New Roman" w:hAnsi="Times New Roman" w:cs="Times New Roman"/>
        </w:rPr>
      </w:pPr>
    </w:p>
    <w:p w14:paraId="7EB16E6F" w14:textId="12ADC0CA" w:rsidR="002A58B4" w:rsidRPr="00966022" w:rsidRDefault="00966022">
      <w:pPr>
        <w:jc w:val="both"/>
        <w:rPr>
          <w:rFonts w:ascii="Times New Roman" w:eastAsia="Times New Roman" w:hAnsi="Times New Roman" w:cs="Times New Roman"/>
        </w:rPr>
      </w:pPr>
      <w:r w:rsidRPr="00966022">
        <w:rPr>
          <w:rFonts w:ascii="Times New Roman" w:eastAsia="Times New Roman" w:hAnsi="Times New Roman" w:cs="Times New Roman"/>
        </w:rPr>
        <w:t xml:space="preserve">Teklif değerlendirme, hizmet sağlayıcının açıklanması ve sözleşmenin imzalanması tarihleri </w:t>
      </w:r>
      <w:r>
        <w:rPr>
          <w:rFonts w:ascii="Times New Roman" w:eastAsia="Times New Roman" w:hAnsi="Times New Roman" w:cs="Times New Roman"/>
        </w:rPr>
        <w:t xml:space="preserve">tahminidir, </w:t>
      </w:r>
      <w:r w:rsidRPr="00966022">
        <w:rPr>
          <w:rFonts w:ascii="Times New Roman" w:eastAsia="Times New Roman" w:hAnsi="Times New Roman" w:cs="Times New Roman"/>
        </w:rPr>
        <w:t xml:space="preserve">başvuruların yoğunluğuna göre </w:t>
      </w:r>
      <w:r>
        <w:rPr>
          <w:rFonts w:ascii="Times New Roman" w:eastAsia="Times New Roman" w:hAnsi="Times New Roman" w:cs="Times New Roman"/>
        </w:rPr>
        <w:t xml:space="preserve">süre </w:t>
      </w:r>
      <w:r w:rsidRPr="00966022">
        <w:rPr>
          <w:rFonts w:ascii="Times New Roman" w:eastAsia="Times New Roman" w:hAnsi="Times New Roman" w:cs="Times New Roman"/>
        </w:rPr>
        <w:t xml:space="preserve">uzatılabilir. </w:t>
      </w:r>
    </w:p>
    <w:p w14:paraId="46758B11" w14:textId="77777777" w:rsidR="00D219D3" w:rsidRDefault="00D219D3">
      <w:pPr>
        <w:jc w:val="both"/>
        <w:rPr>
          <w:rFonts w:ascii="Times New Roman" w:eastAsia="Times New Roman" w:hAnsi="Times New Roman" w:cs="Times New Roman"/>
        </w:rPr>
      </w:pPr>
    </w:p>
    <w:p w14:paraId="0892D20B" w14:textId="77777777" w:rsidR="00D219D3" w:rsidRDefault="00D219D3">
      <w:pPr>
        <w:jc w:val="both"/>
        <w:rPr>
          <w:rFonts w:ascii="Times New Roman" w:eastAsia="Times New Roman" w:hAnsi="Times New Roman" w:cs="Times New Roman"/>
        </w:rPr>
      </w:pPr>
    </w:p>
    <w:p w14:paraId="77E68AE3" w14:textId="77777777" w:rsidR="002A58B4" w:rsidRDefault="002A58B4">
      <w:pPr>
        <w:jc w:val="both"/>
        <w:rPr>
          <w:rFonts w:ascii="Times New Roman" w:eastAsia="Times New Roman" w:hAnsi="Times New Roman" w:cs="Times New Roman"/>
        </w:rPr>
      </w:pPr>
    </w:p>
    <w:p w14:paraId="0F0FDBB4" w14:textId="77777777" w:rsidR="00966022" w:rsidRDefault="00966022">
      <w:pPr>
        <w:jc w:val="both"/>
        <w:rPr>
          <w:rFonts w:ascii="Times New Roman" w:eastAsia="Times New Roman" w:hAnsi="Times New Roman" w:cs="Times New Roman"/>
        </w:rPr>
      </w:pPr>
    </w:p>
    <w:p w14:paraId="626B1C53" w14:textId="77777777" w:rsidR="002A58B4" w:rsidRDefault="002A58B4">
      <w:pPr>
        <w:jc w:val="both"/>
        <w:rPr>
          <w:rFonts w:ascii="Times New Roman" w:eastAsia="Times New Roman" w:hAnsi="Times New Roman" w:cs="Times New Roman"/>
        </w:rPr>
      </w:pPr>
    </w:p>
    <w:p w14:paraId="422A91B7" w14:textId="77777777" w:rsidR="002A58B4" w:rsidRDefault="002A58B4">
      <w:pPr>
        <w:jc w:val="both"/>
        <w:rPr>
          <w:rFonts w:ascii="Times New Roman" w:eastAsia="Times New Roman" w:hAnsi="Times New Roman" w:cs="Times New Roman"/>
        </w:rPr>
      </w:pPr>
    </w:p>
    <w:p w14:paraId="7624F317"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lastRenderedPageBreak/>
        <w:t>EK 1: FİNANSAL TEKLİF </w:t>
      </w:r>
    </w:p>
    <w:tbl>
      <w:tblPr>
        <w:tblStyle w:val="a"/>
        <w:tblW w:w="8626" w:type="dxa"/>
        <w:tblInd w:w="0" w:type="dxa"/>
        <w:tblLayout w:type="fixed"/>
        <w:tblLook w:val="0400" w:firstRow="0" w:lastRow="0" w:firstColumn="0" w:lastColumn="0" w:noHBand="0" w:noVBand="1"/>
      </w:tblPr>
      <w:tblGrid>
        <w:gridCol w:w="4187"/>
        <w:gridCol w:w="941"/>
        <w:gridCol w:w="575"/>
        <w:gridCol w:w="1890"/>
        <w:gridCol w:w="177"/>
        <w:gridCol w:w="856"/>
      </w:tblGrid>
      <w:tr w:rsidR="002A58B4" w14:paraId="18C9DB86" w14:textId="77777777">
        <w:trPr>
          <w:trHeight w:val="436"/>
        </w:trPr>
        <w:tc>
          <w:tcPr>
            <w:tcW w:w="4187" w:type="dxa"/>
            <w:tcBorders>
              <w:top w:val="single" w:sz="6" w:space="0" w:color="000000"/>
              <w:left w:val="single" w:sz="6" w:space="0" w:color="000000"/>
              <w:bottom w:val="single" w:sz="4" w:space="0" w:color="000000"/>
              <w:right w:val="single" w:sz="4" w:space="0" w:color="000000"/>
            </w:tcBorders>
            <w:tcMar>
              <w:top w:w="51" w:type="dxa"/>
              <w:left w:w="0" w:type="dxa"/>
              <w:bottom w:w="0" w:type="dxa"/>
              <w:right w:w="12" w:type="dxa"/>
            </w:tcMar>
            <w:vAlign w:val="bottom"/>
          </w:tcPr>
          <w:p w14:paraId="028EC2DA"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941" w:type="dxa"/>
            <w:tcBorders>
              <w:top w:val="single" w:sz="6"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39D5E4A9"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Birim  </w:t>
            </w:r>
          </w:p>
        </w:tc>
        <w:tc>
          <w:tcPr>
            <w:tcW w:w="575" w:type="dxa"/>
            <w:tcBorders>
              <w:top w:val="single" w:sz="6"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5DB1FB77"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Adet  </w:t>
            </w:r>
          </w:p>
        </w:tc>
        <w:tc>
          <w:tcPr>
            <w:tcW w:w="1890" w:type="dxa"/>
            <w:tcBorders>
              <w:top w:val="single" w:sz="6"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1008ED6F"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Birim fiyat </w:t>
            </w:r>
          </w:p>
        </w:tc>
        <w:tc>
          <w:tcPr>
            <w:tcW w:w="177" w:type="dxa"/>
            <w:tcBorders>
              <w:top w:val="single" w:sz="6" w:space="0" w:color="000000"/>
              <w:left w:val="single" w:sz="4" w:space="0" w:color="000000"/>
              <w:bottom w:val="single" w:sz="4" w:space="0" w:color="000000"/>
            </w:tcBorders>
            <w:tcMar>
              <w:top w:w="51" w:type="dxa"/>
              <w:left w:w="0" w:type="dxa"/>
              <w:bottom w:w="0" w:type="dxa"/>
              <w:right w:w="12" w:type="dxa"/>
            </w:tcMar>
          </w:tcPr>
          <w:p w14:paraId="41896FB3" w14:textId="77777777" w:rsidR="002A58B4" w:rsidRDefault="002A58B4">
            <w:pPr>
              <w:jc w:val="both"/>
              <w:rPr>
                <w:rFonts w:ascii="Times New Roman" w:eastAsia="Times New Roman" w:hAnsi="Times New Roman" w:cs="Times New Roman"/>
              </w:rPr>
            </w:pPr>
          </w:p>
        </w:tc>
        <w:tc>
          <w:tcPr>
            <w:tcW w:w="856" w:type="dxa"/>
            <w:tcBorders>
              <w:top w:val="single" w:sz="6" w:space="0" w:color="000000"/>
              <w:bottom w:val="single" w:sz="4" w:space="0" w:color="000000"/>
              <w:right w:val="single" w:sz="6" w:space="0" w:color="000000"/>
            </w:tcBorders>
            <w:tcMar>
              <w:top w:w="51" w:type="dxa"/>
              <w:left w:w="0" w:type="dxa"/>
              <w:bottom w:w="0" w:type="dxa"/>
              <w:right w:w="12" w:type="dxa"/>
            </w:tcMar>
            <w:vAlign w:val="bottom"/>
          </w:tcPr>
          <w:p w14:paraId="508EFE98"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Toplam  </w:t>
            </w:r>
          </w:p>
        </w:tc>
      </w:tr>
      <w:tr w:rsidR="002A58B4" w14:paraId="77DFBC7A" w14:textId="77777777">
        <w:trPr>
          <w:trHeight w:val="322"/>
        </w:trPr>
        <w:tc>
          <w:tcPr>
            <w:tcW w:w="4187" w:type="dxa"/>
            <w:tcBorders>
              <w:top w:val="single" w:sz="4" w:space="0" w:color="000000"/>
              <w:left w:val="single" w:sz="6" w:space="0" w:color="000000"/>
              <w:bottom w:val="single" w:sz="4" w:space="0" w:color="000000"/>
            </w:tcBorders>
            <w:shd w:val="clear" w:color="auto" w:fill="D9D9D9"/>
            <w:tcMar>
              <w:top w:w="51" w:type="dxa"/>
              <w:left w:w="0" w:type="dxa"/>
              <w:bottom w:w="0" w:type="dxa"/>
              <w:right w:w="12" w:type="dxa"/>
            </w:tcMar>
            <w:vAlign w:val="bottom"/>
          </w:tcPr>
          <w:p w14:paraId="12F7500A"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 </w:t>
            </w:r>
          </w:p>
        </w:tc>
        <w:tc>
          <w:tcPr>
            <w:tcW w:w="941" w:type="dxa"/>
            <w:tcBorders>
              <w:top w:val="single" w:sz="4" w:space="0" w:color="000000"/>
              <w:bottom w:val="single" w:sz="4" w:space="0" w:color="000000"/>
            </w:tcBorders>
            <w:shd w:val="clear" w:color="auto" w:fill="D9D9D9"/>
            <w:tcMar>
              <w:top w:w="51" w:type="dxa"/>
              <w:left w:w="0" w:type="dxa"/>
              <w:bottom w:w="0" w:type="dxa"/>
              <w:right w:w="12" w:type="dxa"/>
            </w:tcMar>
          </w:tcPr>
          <w:p w14:paraId="34C6577D"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575" w:type="dxa"/>
            <w:tcBorders>
              <w:top w:val="single" w:sz="4" w:space="0" w:color="000000"/>
              <w:bottom w:val="single" w:sz="4" w:space="0" w:color="000000"/>
            </w:tcBorders>
            <w:shd w:val="clear" w:color="auto" w:fill="D9D9D9"/>
            <w:tcMar>
              <w:top w:w="51" w:type="dxa"/>
              <w:left w:w="0" w:type="dxa"/>
              <w:bottom w:w="0" w:type="dxa"/>
              <w:right w:w="12" w:type="dxa"/>
            </w:tcMar>
          </w:tcPr>
          <w:p w14:paraId="381737AB"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890" w:type="dxa"/>
            <w:tcBorders>
              <w:top w:val="single" w:sz="4" w:space="0" w:color="000000"/>
              <w:bottom w:val="single" w:sz="4" w:space="0" w:color="000000"/>
            </w:tcBorders>
            <w:shd w:val="clear" w:color="auto" w:fill="D9D9D9"/>
            <w:tcMar>
              <w:top w:w="51" w:type="dxa"/>
              <w:left w:w="0" w:type="dxa"/>
              <w:bottom w:w="0" w:type="dxa"/>
              <w:right w:w="12" w:type="dxa"/>
            </w:tcMar>
          </w:tcPr>
          <w:p w14:paraId="6DBF6C1E"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(Birim Fiyat+KDV) </w:t>
            </w:r>
          </w:p>
        </w:tc>
        <w:tc>
          <w:tcPr>
            <w:tcW w:w="177" w:type="dxa"/>
            <w:tcBorders>
              <w:top w:val="single" w:sz="4" w:space="0" w:color="000000"/>
              <w:bottom w:val="single" w:sz="4" w:space="0" w:color="000000"/>
            </w:tcBorders>
            <w:shd w:val="clear" w:color="auto" w:fill="D9D9D9"/>
            <w:tcMar>
              <w:top w:w="51" w:type="dxa"/>
              <w:left w:w="0" w:type="dxa"/>
              <w:bottom w:w="0" w:type="dxa"/>
              <w:right w:w="12" w:type="dxa"/>
            </w:tcMar>
          </w:tcPr>
          <w:p w14:paraId="63A3A24C"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0 </w:t>
            </w:r>
          </w:p>
        </w:tc>
        <w:tc>
          <w:tcPr>
            <w:tcW w:w="856" w:type="dxa"/>
            <w:tcBorders>
              <w:top w:val="single" w:sz="4" w:space="0" w:color="000000"/>
              <w:bottom w:val="single" w:sz="4" w:space="0" w:color="000000"/>
              <w:right w:val="single" w:sz="6" w:space="0" w:color="000000"/>
            </w:tcBorders>
            <w:shd w:val="clear" w:color="auto" w:fill="D9D9D9"/>
            <w:tcMar>
              <w:top w:w="51" w:type="dxa"/>
              <w:left w:w="0" w:type="dxa"/>
              <w:bottom w:w="0" w:type="dxa"/>
              <w:right w:w="12" w:type="dxa"/>
            </w:tcMar>
          </w:tcPr>
          <w:p w14:paraId="179630ED" w14:textId="77777777" w:rsidR="002A58B4" w:rsidRDefault="002A58B4">
            <w:pPr>
              <w:jc w:val="both"/>
              <w:rPr>
                <w:rFonts w:ascii="Times New Roman" w:eastAsia="Times New Roman" w:hAnsi="Times New Roman" w:cs="Times New Roman"/>
              </w:rPr>
            </w:pPr>
          </w:p>
        </w:tc>
      </w:tr>
      <w:tr w:rsidR="002A58B4" w14:paraId="5CF65E21" w14:textId="77777777">
        <w:trPr>
          <w:trHeight w:val="563"/>
        </w:trPr>
        <w:tc>
          <w:tcPr>
            <w:tcW w:w="4187" w:type="dxa"/>
            <w:tcBorders>
              <w:top w:val="single" w:sz="4" w:space="0" w:color="000000"/>
              <w:left w:val="single" w:sz="6" w:space="0" w:color="000000"/>
              <w:bottom w:val="single" w:sz="4" w:space="0" w:color="000000"/>
              <w:right w:val="single" w:sz="4" w:space="0" w:color="000000"/>
            </w:tcBorders>
            <w:tcMar>
              <w:top w:w="51" w:type="dxa"/>
              <w:left w:w="0" w:type="dxa"/>
              <w:bottom w:w="0" w:type="dxa"/>
              <w:right w:w="12" w:type="dxa"/>
            </w:tcMar>
          </w:tcPr>
          <w:p w14:paraId="5D4E7FFE"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1.1.İzleme ve Değerlendirme    </w:t>
            </w:r>
          </w:p>
          <w:p w14:paraId="27910DDD"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Çerçevesinin ve Planının Geliştirilmesi </w:t>
            </w:r>
          </w:p>
        </w:tc>
        <w:tc>
          <w:tcPr>
            <w:tcW w:w="941"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02CDA1EB"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Gün  </w:t>
            </w:r>
          </w:p>
        </w:tc>
        <w:tc>
          <w:tcPr>
            <w:tcW w:w="575"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25C9648D"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890"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3A234732"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77" w:type="dxa"/>
            <w:tcBorders>
              <w:top w:val="single" w:sz="4" w:space="0" w:color="000000"/>
              <w:left w:val="single" w:sz="4" w:space="0" w:color="000000"/>
              <w:bottom w:val="single" w:sz="4" w:space="0" w:color="000000"/>
            </w:tcBorders>
            <w:tcMar>
              <w:top w:w="51" w:type="dxa"/>
              <w:left w:w="0" w:type="dxa"/>
              <w:bottom w:w="0" w:type="dxa"/>
              <w:right w:w="12" w:type="dxa"/>
            </w:tcMar>
            <w:vAlign w:val="bottom"/>
          </w:tcPr>
          <w:p w14:paraId="766F2F10"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0 </w:t>
            </w:r>
          </w:p>
        </w:tc>
        <w:tc>
          <w:tcPr>
            <w:tcW w:w="856" w:type="dxa"/>
            <w:tcBorders>
              <w:top w:val="single" w:sz="4" w:space="0" w:color="000000"/>
              <w:bottom w:val="single" w:sz="4" w:space="0" w:color="000000"/>
              <w:right w:val="single" w:sz="6" w:space="0" w:color="000000"/>
            </w:tcBorders>
            <w:tcMar>
              <w:top w:w="51" w:type="dxa"/>
              <w:left w:w="0" w:type="dxa"/>
              <w:bottom w:w="0" w:type="dxa"/>
              <w:right w:w="12" w:type="dxa"/>
            </w:tcMar>
          </w:tcPr>
          <w:p w14:paraId="226D7A37" w14:textId="77777777" w:rsidR="002A58B4" w:rsidRDefault="002A58B4">
            <w:pPr>
              <w:jc w:val="both"/>
              <w:rPr>
                <w:rFonts w:ascii="Times New Roman" w:eastAsia="Times New Roman" w:hAnsi="Times New Roman" w:cs="Times New Roman"/>
              </w:rPr>
            </w:pPr>
          </w:p>
        </w:tc>
      </w:tr>
      <w:tr w:rsidR="002A58B4" w14:paraId="646205B3" w14:textId="77777777">
        <w:trPr>
          <w:trHeight w:val="562"/>
        </w:trPr>
        <w:tc>
          <w:tcPr>
            <w:tcW w:w="4187" w:type="dxa"/>
            <w:tcBorders>
              <w:top w:val="single" w:sz="4" w:space="0" w:color="000000"/>
              <w:left w:val="single" w:sz="6" w:space="0" w:color="000000"/>
              <w:bottom w:val="single" w:sz="4" w:space="0" w:color="000000"/>
              <w:right w:val="single" w:sz="4" w:space="0" w:color="000000"/>
            </w:tcBorders>
            <w:tcMar>
              <w:top w:w="51" w:type="dxa"/>
              <w:left w:w="0" w:type="dxa"/>
              <w:bottom w:w="0" w:type="dxa"/>
              <w:right w:w="12" w:type="dxa"/>
            </w:tcMar>
          </w:tcPr>
          <w:p w14:paraId="72860322"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1.2. İzleme ve Değerlendirme Araçlarının </w:t>
            </w:r>
          </w:p>
          <w:p w14:paraId="1A3325D1"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Geliştirilmesi </w:t>
            </w:r>
          </w:p>
        </w:tc>
        <w:tc>
          <w:tcPr>
            <w:tcW w:w="941"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373E7D25" w14:textId="4080D4B6"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Gün </w:t>
            </w:r>
          </w:p>
        </w:tc>
        <w:tc>
          <w:tcPr>
            <w:tcW w:w="575"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7353D373"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890"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71E3C8E7"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77" w:type="dxa"/>
            <w:tcBorders>
              <w:top w:val="single" w:sz="4" w:space="0" w:color="000000"/>
              <w:left w:val="single" w:sz="4" w:space="0" w:color="000000"/>
              <w:bottom w:val="single" w:sz="4" w:space="0" w:color="000000"/>
            </w:tcBorders>
            <w:tcMar>
              <w:top w:w="51" w:type="dxa"/>
              <w:left w:w="0" w:type="dxa"/>
              <w:bottom w:w="0" w:type="dxa"/>
              <w:right w:w="12" w:type="dxa"/>
            </w:tcMar>
            <w:vAlign w:val="bottom"/>
          </w:tcPr>
          <w:p w14:paraId="4A9F35EF"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0 </w:t>
            </w:r>
          </w:p>
        </w:tc>
        <w:tc>
          <w:tcPr>
            <w:tcW w:w="856" w:type="dxa"/>
            <w:tcBorders>
              <w:top w:val="single" w:sz="4" w:space="0" w:color="000000"/>
              <w:bottom w:val="single" w:sz="4" w:space="0" w:color="000000"/>
              <w:right w:val="single" w:sz="6" w:space="0" w:color="000000"/>
            </w:tcBorders>
            <w:tcMar>
              <w:top w:w="51" w:type="dxa"/>
              <w:left w:w="0" w:type="dxa"/>
              <w:bottom w:w="0" w:type="dxa"/>
              <w:right w:w="12" w:type="dxa"/>
            </w:tcMar>
          </w:tcPr>
          <w:p w14:paraId="58E500F1" w14:textId="77777777" w:rsidR="002A58B4" w:rsidRDefault="002A58B4">
            <w:pPr>
              <w:jc w:val="both"/>
              <w:rPr>
                <w:rFonts w:ascii="Times New Roman" w:eastAsia="Times New Roman" w:hAnsi="Times New Roman" w:cs="Times New Roman"/>
              </w:rPr>
            </w:pPr>
          </w:p>
        </w:tc>
      </w:tr>
      <w:tr w:rsidR="002A58B4" w14:paraId="71BD9797" w14:textId="77777777">
        <w:trPr>
          <w:trHeight w:val="838"/>
        </w:trPr>
        <w:tc>
          <w:tcPr>
            <w:tcW w:w="4187" w:type="dxa"/>
            <w:tcBorders>
              <w:top w:val="single" w:sz="4" w:space="0" w:color="000000"/>
              <w:left w:val="single" w:sz="6" w:space="0" w:color="000000"/>
              <w:bottom w:val="single" w:sz="4" w:space="0" w:color="000000"/>
              <w:right w:val="single" w:sz="4" w:space="0" w:color="000000"/>
            </w:tcBorders>
            <w:tcMar>
              <w:top w:w="51" w:type="dxa"/>
              <w:left w:w="0" w:type="dxa"/>
              <w:bottom w:w="0" w:type="dxa"/>
              <w:right w:w="12" w:type="dxa"/>
            </w:tcMar>
          </w:tcPr>
          <w:p w14:paraId="1F81904D"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1.3. İzleme ve Değerlendirme </w:t>
            </w:r>
          </w:p>
          <w:p w14:paraId="48899F82"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Çalışmalarının Uygulanması ve Raporlanması  </w:t>
            </w:r>
          </w:p>
        </w:tc>
        <w:tc>
          <w:tcPr>
            <w:tcW w:w="941"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62B90748"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xml:space="preserve"> Gün  </w:t>
            </w:r>
          </w:p>
        </w:tc>
        <w:tc>
          <w:tcPr>
            <w:tcW w:w="575"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6F5932D0"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890"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4BFF57B6"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77" w:type="dxa"/>
            <w:tcBorders>
              <w:top w:val="single" w:sz="4" w:space="0" w:color="000000"/>
              <w:left w:val="single" w:sz="4" w:space="0" w:color="000000"/>
              <w:bottom w:val="single" w:sz="4" w:space="0" w:color="000000"/>
            </w:tcBorders>
            <w:tcMar>
              <w:top w:w="51" w:type="dxa"/>
              <w:left w:w="0" w:type="dxa"/>
              <w:bottom w:w="0" w:type="dxa"/>
              <w:right w:w="12" w:type="dxa"/>
            </w:tcMar>
            <w:vAlign w:val="bottom"/>
          </w:tcPr>
          <w:p w14:paraId="1DD4CE97"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0 </w:t>
            </w:r>
          </w:p>
        </w:tc>
        <w:tc>
          <w:tcPr>
            <w:tcW w:w="856" w:type="dxa"/>
            <w:tcBorders>
              <w:top w:val="single" w:sz="4" w:space="0" w:color="000000"/>
              <w:bottom w:val="single" w:sz="4" w:space="0" w:color="000000"/>
              <w:right w:val="single" w:sz="6" w:space="0" w:color="000000"/>
            </w:tcBorders>
            <w:tcMar>
              <w:top w:w="51" w:type="dxa"/>
              <w:left w:w="0" w:type="dxa"/>
              <w:bottom w:w="0" w:type="dxa"/>
              <w:right w:w="12" w:type="dxa"/>
            </w:tcMar>
          </w:tcPr>
          <w:p w14:paraId="080638CC" w14:textId="77777777" w:rsidR="002A58B4" w:rsidRDefault="002A58B4">
            <w:pPr>
              <w:jc w:val="both"/>
              <w:rPr>
                <w:rFonts w:ascii="Times New Roman" w:eastAsia="Times New Roman" w:hAnsi="Times New Roman" w:cs="Times New Roman"/>
              </w:rPr>
            </w:pPr>
          </w:p>
        </w:tc>
      </w:tr>
      <w:tr w:rsidR="002A58B4" w14:paraId="1F05E0AE" w14:textId="77777777">
        <w:trPr>
          <w:trHeight w:val="840"/>
        </w:trPr>
        <w:tc>
          <w:tcPr>
            <w:tcW w:w="4187" w:type="dxa"/>
            <w:tcBorders>
              <w:top w:val="single" w:sz="4" w:space="0" w:color="000000"/>
              <w:left w:val="single" w:sz="6" w:space="0" w:color="000000"/>
              <w:bottom w:val="single" w:sz="4" w:space="0" w:color="000000"/>
              <w:right w:val="single" w:sz="4" w:space="0" w:color="000000"/>
            </w:tcBorders>
            <w:tcMar>
              <w:top w:w="51" w:type="dxa"/>
              <w:left w:w="0" w:type="dxa"/>
              <w:bottom w:w="0" w:type="dxa"/>
              <w:right w:w="12" w:type="dxa"/>
            </w:tcMar>
          </w:tcPr>
          <w:p w14:paraId="116D5F83" w14:textId="77777777" w:rsidR="002A58B4" w:rsidRDefault="002A58B4">
            <w:pPr>
              <w:jc w:val="both"/>
              <w:rPr>
                <w:rFonts w:ascii="Times New Roman" w:eastAsia="Times New Roman" w:hAnsi="Times New Roman" w:cs="Times New Roman"/>
              </w:rPr>
            </w:pPr>
          </w:p>
        </w:tc>
        <w:tc>
          <w:tcPr>
            <w:tcW w:w="941"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2BF5EE8C" w14:textId="77777777" w:rsidR="002A58B4" w:rsidRDefault="002A58B4">
            <w:pPr>
              <w:jc w:val="both"/>
              <w:rPr>
                <w:rFonts w:ascii="Times New Roman" w:eastAsia="Times New Roman" w:hAnsi="Times New Roman" w:cs="Times New Roman"/>
              </w:rPr>
            </w:pPr>
          </w:p>
        </w:tc>
        <w:tc>
          <w:tcPr>
            <w:tcW w:w="575"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14CD2F0E" w14:textId="77777777" w:rsidR="002A58B4" w:rsidRDefault="002A58B4">
            <w:pPr>
              <w:jc w:val="both"/>
              <w:rPr>
                <w:rFonts w:ascii="Times New Roman" w:eastAsia="Times New Roman" w:hAnsi="Times New Roman" w:cs="Times New Roman"/>
              </w:rPr>
            </w:pPr>
          </w:p>
        </w:tc>
        <w:tc>
          <w:tcPr>
            <w:tcW w:w="1890"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vAlign w:val="bottom"/>
          </w:tcPr>
          <w:p w14:paraId="1E92D66C" w14:textId="77777777" w:rsidR="002A58B4" w:rsidRDefault="002A58B4">
            <w:pPr>
              <w:jc w:val="both"/>
              <w:rPr>
                <w:rFonts w:ascii="Times New Roman" w:eastAsia="Times New Roman" w:hAnsi="Times New Roman" w:cs="Times New Roman"/>
              </w:rPr>
            </w:pPr>
          </w:p>
        </w:tc>
        <w:tc>
          <w:tcPr>
            <w:tcW w:w="177" w:type="dxa"/>
            <w:tcBorders>
              <w:top w:val="single" w:sz="4" w:space="0" w:color="000000"/>
              <w:left w:val="single" w:sz="4" w:space="0" w:color="000000"/>
              <w:bottom w:val="single" w:sz="4" w:space="0" w:color="000000"/>
            </w:tcBorders>
            <w:tcMar>
              <w:top w:w="51" w:type="dxa"/>
              <w:left w:w="0" w:type="dxa"/>
              <w:bottom w:w="0" w:type="dxa"/>
              <w:right w:w="12" w:type="dxa"/>
            </w:tcMar>
            <w:vAlign w:val="bottom"/>
          </w:tcPr>
          <w:p w14:paraId="0238B8C4" w14:textId="77777777" w:rsidR="002A58B4" w:rsidRDefault="002A58B4">
            <w:pPr>
              <w:jc w:val="both"/>
              <w:rPr>
                <w:rFonts w:ascii="Times New Roman" w:eastAsia="Times New Roman" w:hAnsi="Times New Roman" w:cs="Times New Roman"/>
              </w:rPr>
            </w:pPr>
          </w:p>
        </w:tc>
        <w:tc>
          <w:tcPr>
            <w:tcW w:w="856" w:type="dxa"/>
            <w:tcBorders>
              <w:top w:val="single" w:sz="4" w:space="0" w:color="000000"/>
              <w:bottom w:val="single" w:sz="4" w:space="0" w:color="000000"/>
              <w:right w:val="single" w:sz="6" w:space="0" w:color="000000"/>
            </w:tcBorders>
            <w:tcMar>
              <w:top w:w="51" w:type="dxa"/>
              <w:left w:w="0" w:type="dxa"/>
              <w:bottom w:w="0" w:type="dxa"/>
              <w:right w:w="12" w:type="dxa"/>
            </w:tcMar>
          </w:tcPr>
          <w:p w14:paraId="5514EE46" w14:textId="77777777" w:rsidR="002A58B4" w:rsidRDefault="002A58B4">
            <w:pPr>
              <w:jc w:val="both"/>
              <w:rPr>
                <w:rFonts w:ascii="Times New Roman" w:eastAsia="Times New Roman" w:hAnsi="Times New Roman" w:cs="Times New Roman"/>
              </w:rPr>
            </w:pPr>
          </w:p>
        </w:tc>
      </w:tr>
      <w:tr w:rsidR="002A58B4" w14:paraId="58471B75" w14:textId="77777777">
        <w:trPr>
          <w:trHeight w:val="324"/>
        </w:trPr>
        <w:tc>
          <w:tcPr>
            <w:tcW w:w="4187" w:type="dxa"/>
            <w:tcBorders>
              <w:top w:val="single" w:sz="4" w:space="0" w:color="000000"/>
              <w:left w:val="single" w:sz="6" w:space="0" w:color="000000"/>
              <w:bottom w:val="single" w:sz="4" w:space="0" w:color="000000"/>
              <w:right w:val="single" w:sz="4" w:space="0" w:color="000000"/>
            </w:tcBorders>
            <w:tcMar>
              <w:top w:w="51" w:type="dxa"/>
              <w:left w:w="0" w:type="dxa"/>
              <w:bottom w:w="0" w:type="dxa"/>
              <w:right w:w="12" w:type="dxa"/>
            </w:tcMar>
          </w:tcPr>
          <w:p w14:paraId="3F89373F"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941"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tcPr>
          <w:p w14:paraId="0E194308"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575"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tcPr>
          <w:p w14:paraId="7A2D46E5"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890"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tcPr>
          <w:p w14:paraId="3605B9DA"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77" w:type="dxa"/>
            <w:tcBorders>
              <w:top w:val="single" w:sz="4" w:space="0" w:color="000000"/>
              <w:left w:val="single" w:sz="4" w:space="0" w:color="000000"/>
              <w:bottom w:val="single" w:sz="4" w:space="0" w:color="000000"/>
            </w:tcBorders>
            <w:tcMar>
              <w:top w:w="51" w:type="dxa"/>
              <w:left w:w="0" w:type="dxa"/>
              <w:bottom w:w="0" w:type="dxa"/>
              <w:right w:w="12" w:type="dxa"/>
            </w:tcMar>
          </w:tcPr>
          <w:p w14:paraId="14B7A103"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856" w:type="dxa"/>
            <w:tcBorders>
              <w:top w:val="single" w:sz="4" w:space="0" w:color="000000"/>
              <w:bottom w:val="single" w:sz="4" w:space="0" w:color="000000"/>
              <w:right w:val="single" w:sz="6" w:space="0" w:color="000000"/>
            </w:tcBorders>
            <w:tcMar>
              <w:top w:w="51" w:type="dxa"/>
              <w:left w:w="0" w:type="dxa"/>
              <w:bottom w:w="0" w:type="dxa"/>
              <w:right w:w="12" w:type="dxa"/>
            </w:tcMar>
          </w:tcPr>
          <w:p w14:paraId="63A8A822" w14:textId="77777777" w:rsidR="002A58B4" w:rsidRDefault="002A58B4">
            <w:pPr>
              <w:jc w:val="both"/>
              <w:rPr>
                <w:rFonts w:ascii="Times New Roman" w:eastAsia="Times New Roman" w:hAnsi="Times New Roman" w:cs="Times New Roman"/>
              </w:rPr>
            </w:pPr>
          </w:p>
        </w:tc>
      </w:tr>
      <w:tr w:rsidR="002A58B4" w14:paraId="1FA7BC49" w14:textId="77777777">
        <w:trPr>
          <w:trHeight w:val="326"/>
        </w:trPr>
        <w:tc>
          <w:tcPr>
            <w:tcW w:w="4187" w:type="dxa"/>
            <w:tcBorders>
              <w:top w:val="single" w:sz="4" w:space="0" w:color="000000"/>
              <w:left w:val="single" w:sz="6" w:space="0" w:color="000000"/>
              <w:bottom w:val="single" w:sz="4" w:space="0" w:color="000000"/>
              <w:right w:val="single" w:sz="4" w:space="0" w:color="000000"/>
            </w:tcBorders>
            <w:tcMar>
              <w:top w:w="51" w:type="dxa"/>
              <w:left w:w="0" w:type="dxa"/>
              <w:bottom w:w="0" w:type="dxa"/>
              <w:right w:w="12" w:type="dxa"/>
            </w:tcMar>
          </w:tcPr>
          <w:p w14:paraId="3AF5420D"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u w:val="single"/>
              </w:rPr>
              <w:t>Toplam</w:t>
            </w:r>
            <w:r>
              <w:rPr>
                <w:rFonts w:ascii="Times New Roman" w:eastAsia="Times New Roman" w:hAnsi="Times New Roman" w:cs="Times New Roman"/>
                <w:b/>
              </w:rPr>
              <w:t> </w:t>
            </w:r>
          </w:p>
        </w:tc>
        <w:tc>
          <w:tcPr>
            <w:tcW w:w="941"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tcPr>
          <w:p w14:paraId="6DF3D1CC"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Gün </w:t>
            </w:r>
          </w:p>
        </w:tc>
        <w:tc>
          <w:tcPr>
            <w:tcW w:w="575"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tcPr>
          <w:p w14:paraId="3DC48096"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890" w:type="dxa"/>
            <w:tcBorders>
              <w:top w:val="single" w:sz="4" w:space="0" w:color="000000"/>
              <w:left w:val="single" w:sz="4" w:space="0" w:color="000000"/>
              <w:bottom w:val="single" w:sz="4" w:space="0" w:color="000000"/>
              <w:right w:val="single" w:sz="4" w:space="0" w:color="000000"/>
            </w:tcBorders>
            <w:tcMar>
              <w:top w:w="51" w:type="dxa"/>
              <w:left w:w="0" w:type="dxa"/>
              <w:bottom w:w="0" w:type="dxa"/>
              <w:right w:w="12" w:type="dxa"/>
            </w:tcMar>
          </w:tcPr>
          <w:p w14:paraId="3685CF89"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177" w:type="dxa"/>
            <w:tcBorders>
              <w:top w:val="single" w:sz="4" w:space="0" w:color="000000"/>
              <w:left w:val="single" w:sz="4" w:space="0" w:color="000000"/>
              <w:bottom w:val="single" w:sz="4" w:space="0" w:color="000000"/>
            </w:tcBorders>
            <w:tcMar>
              <w:top w:w="51" w:type="dxa"/>
              <w:left w:w="0" w:type="dxa"/>
              <w:bottom w:w="0" w:type="dxa"/>
              <w:right w:w="12" w:type="dxa"/>
            </w:tcMar>
          </w:tcPr>
          <w:p w14:paraId="46779AD4"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tc>
        <w:tc>
          <w:tcPr>
            <w:tcW w:w="856" w:type="dxa"/>
            <w:tcBorders>
              <w:top w:val="single" w:sz="4" w:space="0" w:color="000000"/>
              <w:bottom w:val="single" w:sz="4" w:space="0" w:color="000000"/>
              <w:right w:val="single" w:sz="6" w:space="0" w:color="000000"/>
            </w:tcBorders>
            <w:tcMar>
              <w:top w:w="51" w:type="dxa"/>
              <w:left w:w="0" w:type="dxa"/>
              <w:bottom w:w="0" w:type="dxa"/>
              <w:right w:w="12" w:type="dxa"/>
            </w:tcMar>
          </w:tcPr>
          <w:p w14:paraId="757B8B9B" w14:textId="77777777" w:rsidR="002A58B4" w:rsidRDefault="002A58B4">
            <w:pPr>
              <w:jc w:val="both"/>
              <w:rPr>
                <w:rFonts w:ascii="Times New Roman" w:eastAsia="Times New Roman" w:hAnsi="Times New Roman" w:cs="Times New Roman"/>
              </w:rPr>
            </w:pPr>
          </w:p>
        </w:tc>
      </w:tr>
    </w:tbl>
    <w:p w14:paraId="00EF037B" w14:textId="77777777" w:rsidR="002A58B4" w:rsidRDefault="002A58B4">
      <w:pPr>
        <w:jc w:val="both"/>
        <w:rPr>
          <w:rFonts w:ascii="Times New Roman" w:eastAsia="Times New Roman" w:hAnsi="Times New Roman" w:cs="Times New Roman"/>
        </w:rPr>
      </w:pPr>
    </w:p>
    <w:p w14:paraId="6C6539AE"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Finansal değerlendirme sürecinin işlerliği açısından tabloda belirtilen bütçe kalemlerinin değiştirilmemesi ancak ek bir bütçe  kalemi eklenmek isteniyorsa ilgili maddelere dahil edilmelidir. </w:t>
      </w:r>
    </w:p>
    <w:p w14:paraId="0262CAAB" w14:textId="77777777" w:rsidR="002A58B4" w:rsidRDefault="002A58B4">
      <w:pPr>
        <w:jc w:val="both"/>
        <w:rPr>
          <w:rFonts w:ascii="Times New Roman" w:eastAsia="Times New Roman" w:hAnsi="Times New Roman" w:cs="Times New Roman"/>
        </w:rPr>
      </w:pPr>
    </w:p>
    <w:p w14:paraId="2305A3EA" w14:textId="77777777" w:rsidR="002A58B4" w:rsidRDefault="002A58B4">
      <w:pPr>
        <w:jc w:val="both"/>
        <w:rPr>
          <w:rFonts w:ascii="Times New Roman" w:eastAsia="Times New Roman" w:hAnsi="Times New Roman" w:cs="Times New Roman"/>
        </w:rPr>
      </w:pPr>
    </w:p>
    <w:p w14:paraId="2A6E1EC7" w14:textId="77777777" w:rsidR="002A58B4" w:rsidRDefault="002A58B4">
      <w:pPr>
        <w:jc w:val="both"/>
        <w:rPr>
          <w:rFonts w:ascii="Times New Roman" w:eastAsia="Times New Roman" w:hAnsi="Times New Roman" w:cs="Times New Roman"/>
          <w:b/>
        </w:rPr>
      </w:pPr>
    </w:p>
    <w:p w14:paraId="5D9F8FCF" w14:textId="77777777" w:rsidR="002A58B4" w:rsidRDefault="002A58B4">
      <w:pPr>
        <w:jc w:val="both"/>
        <w:rPr>
          <w:rFonts w:ascii="Times New Roman" w:eastAsia="Times New Roman" w:hAnsi="Times New Roman" w:cs="Times New Roman"/>
          <w:b/>
        </w:rPr>
      </w:pPr>
    </w:p>
    <w:p w14:paraId="0EE32F69" w14:textId="77777777" w:rsidR="00C1266D" w:rsidRDefault="00C1266D">
      <w:pPr>
        <w:jc w:val="both"/>
        <w:rPr>
          <w:rFonts w:ascii="Times New Roman" w:eastAsia="Times New Roman" w:hAnsi="Times New Roman" w:cs="Times New Roman"/>
          <w:b/>
        </w:rPr>
      </w:pPr>
    </w:p>
    <w:p w14:paraId="29B50C09" w14:textId="77777777" w:rsidR="00C1266D" w:rsidRDefault="00C1266D">
      <w:pPr>
        <w:jc w:val="both"/>
        <w:rPr>
          <w:rFonts w:ascii="Times New Roman" w:eastAsia="Times New Roman" w:hAnsi="Times New Roman" w:cs="Times New Roman"/>
          <w:b/>
        </w:rPr>
      </w:pPr>
    </w:p>
    <w:p w14:paraId="6715FF1E" w14:textId="77777777" w:rsidR="00C1266D" w:rsidRDefault="00C1266D">
      <w:pPr>
        <w:jc w:val="both"/>
        <w:rPr>
          <w:rFonts w:ascii="Times New Roman" w:eastAsia="Times New Roman" w:hAnsi="Times New Roman" w:cs="Times New Roman"/>
          <w:b/>
        </w:rPr>
      </w:pPr>
    </w:p>
    <w:p w14:paraId="7704DA2B" w14:textId="77777777" w:rsidR="00C1266D" w:rsidRDefault="00C1266D">
      <w:pPr>
        <w:jc w:val="both"/>
        <w:rPr>
          <w:rFonts w:ascii="Times New Roman" w:eastAsia="Times New Roman" w:hAnsi="Times New Roman" w:cs="Times New Roman"/>
          <w:b/>
        </w:rPr>
      </w:pPr>
    </w:p>
    <w:p w14:paraId="7EEF47FC" w14:textId="77777777" w:rsidR="00C1266D" w:rsidRDefault="00C1266D">
      <w:pPr>
        <w:jc w:val="both"/>
        <w:rPr>
          <w:rFonts w:ascii="Times New Roman" w:eastAsia="Times New Roman" w:hAnsi="Times New Roman" w:cs="Times New Roman"/>
          <w:b/>
        </w:rPr>
      </w:pPr>
    </w:p>
    <w:p w14:paraId="5137BDAA" w14:textId="77777777" w:rsidR="00C1266D" w:rsidRDefault="00C1266D">
      <w:pPr>
        <w:jc w:val="both"/>
        <w:rPr>
          <w:rFonts w:ascii="Times New Roman" w:eastAsia="Times New Roman" w:hAnsi="Times New Roman" w:cs="Times New Roman"/>
          <w:b/>
        </w:rPr>
      </w:pPr>
    </w:p>
    <w:p w14:paraId="177A6213" w14:textId="77777777" w:rsidR="00C1266D" w:rsidRDefault="00C1266D">
      <w:pPr>
        <w:jc w:val="both"/>
        <w:rPr>
          <w:rFonts w:ascii="Times New Roman" w:eastAsia="Times New Roman" w:hAnsi="Times New Roman" w:cs="Times New Roman"/>
          <w:b/>
        </w:rPr>
      </w:pPr>
    </w:p>
    <w:p w14:paraId="4C35834F" w14:textId="77777777" w:rsidR="00966022" w:rsidRDefault="00966022">
      <w:pPr>
        <w:jc w:val="both"/>
        <w:rPr>
          <w:rFonts w:ascii="Times New Roman" w:eastAsia="Times New Roman" w:hAnsi="Times New Roman" w:cs="Times New Roman"/>
          <w:b/>
        </w:rPr>
      </w:pPr>
    </w:p>
    <w:p w14:paraId="280DF0FD" w14:textId="77777777" w:rsidR="00C1266D" w:rsidRDefault="00C1266D">
      <w:pPr>
        <w:jc w:val="both"/>
        <w:rPr>
          <w:rFonts w:ascii="Times New Roman" w:eastAsia="Times New Roman" w:hAnsi="Times New Roman" w:cs="Times New Roman"/>
          <w:b/>
        </w:rPr>
      </w:pPr>
    </w:p>
    <w:p w14:paraId="4D97B902" w14:textId="77777777" w:rsidR="00C1266D" w:rsidRDefault="00C1266D">
      <w:pPr>
        <w:jc w:val="both"/>
        <w:rPr>
          <w:rFonts w:ascii="Times New Roman" w:eastAsia="Times New Roman" w:hAnsi="Times New Roman" w:cs="Times New Roman"/>
          <w:b/>
        </w:rPr>
      </w:pPr>
    </w:p>
    <w:p w14:paraId="5740127F" w14:textId="77777777" w:rsidR="00C1266D" w:rsidRDefault="00C1266D">
      <w:pPr>
        <w:jc w:val="both"/>
        <w:rPr>
          <w:rFonts w:ascii="Times New Roman" w:eastAsia="Times New Roman" w:hAnsi="Times New Roman" w:cs="Times New Roman"/>
          <w:b/>
        </w:rPr>
      </w:pPr>
    </w:p>
    <w:p w14:paraId="65F9EC53" w14:textId="77777777" w:rsidR="00E056B7" w:rsidRDefault="00E056B7" w:rsidP="00E056B7">
      <w:pPr>
        <w:jc w:val="both"/>
        <w:rPr>
          <w:rFonts w:ascii="Times New Roman" w:eastAsia="Times New Roman" w:hAnsi="Times New Roman" w:cs="Times New Roman"/>
          <w:b/>
        </w:rPr>
      </w:pPr>
    </w:p>
    <w:p w14:paraId="3FEC16C7" w14:textId="77777777" w:rsidR="00E056B7" w:rsidRDefault="00E056B7" w:rsidP="00E056B7">
      <w:pPr>
        <w:jc w:val="both"/>
        <w:rPr>
          <w:rFonts w:ascii="Times New Roman" w:eastAsia="Times New Roman" w:hAnsi="Times New Roman" w:cs="Times New Roman"/>
        </w:rPr>
      </w:pPr>
      <w:r>
        <w:rPr>
          <w:rFonts w:ascii="Times New Roman" w:eastAsia="Times New Roman" w:hAnsi="Times New Roman" w:cs="Times New Roman"/>
          <w:b/>
        </w:rPr>
        <w:lastRenderedPageBreak/>
        <w:t>EK 2. Tedarikçi Bilgi Formu </w:t>
      </w:r>
    </w:p>
    <w:p w14:paraId="70096DFD" w14:textId="77777777" w:rsidR="00C1266D" w:rsidRDefault="00C1266D">
      <w:pPr>
        <w:jc w:val="both"/>
        <w:rPr>
          <w:rFonts w:ascii="Times New Roman" w:eastAsia="Times New Roman" w:hAnsi="Times New Roman" w:cs="Times New Roman"/>
          <w:b/>
        </w:rPr>
      </w:pPr>
    </w:p>
    <w:p w14:paraId="19DBDD07" w14:textId="5F3295FA" w:rsidR="002A58B4" w:rsidRDefault="00E056B7">
      <w:pPr>
        <w:jc w:val="both"/>
        <w:rPr>
          <w:rFonts w:ascii="Times New Roman" w:eastAsia="Times New Roman" w:hAnsi="Times New Roman" w:cs="Times New Roman"/>
        </w:rPr>
      </w:pPr>
      <w:r w:rsidRPr="00E056B7">
        <w:rPr>
          <w:rFonts w:ascii="Times New Roman" w:eastAsia="Times New Roman" w:hAnsi="Times New Roman" w:cs="Times New Roman"/>
        </w:rPr>
        <w:object w:dxaOrig="9072" w:dyaOrig="11589" w14:anchorId="050B3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579.75pt" o:ole="">
            <v:imagedata r:id="rId9" o:title=""/>
          </v:shape>
          <o:OLEObject Type="Embed" ProgID="Word.Document.12" ShapeID="_x0000_i1025" DrawAspect="Content" ObjectID="_1815297829" r:id="rId10">
            <o:FieldCodes>\s</o:FieldCodes>
          </o:OLEObject>
        </w:object>
      </w:r>
    </w:p>
    <w:p w14:paraId="22BB274B"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rPr>
        <w:t> </w:t>
      </w:r>
    </w:p>
    <w:p w14:paraId="16408B56" w14:textId="77777777" w:rsidR="00C1266D" w:rsidRDefault="00C1266D">
      <w:pPr>
        <w:jc w:val="both"/>
        <w:rPr>
          <w:rFonts w:ascii="Times New Roman" w:eastAsia="Times New Roman" w:hAnsi="Times New Roman" w:cs="Times New Roman"/>
        </w:rPr>
      </w:pPr>
    </w:p>
    <w:p w14:paraId="13408E50" w14:textId="77777777" w:rsidR="00C1266D" w:rsidRDefault="00C1266D">
      <w:pPr>
        <w:jc w:val="both"/>
        <w:rPr>
          <w:rFonts w:ascii="Times New Roman" w:eastAsia="Times New Roman" w:hAnsi="Times New Roman" w:cs="Times New Roman"/>
        </w:rPr>
      </w:pPr>
    </w:p>
    <w:p w14:paraId="598BF28F" w14:textId="77777777" w:rsidR="00C1266D" w:rsidRDefault="00C1266D">
      <w:pPr>
        <w:jc w:val="both"/>
        <w:rPr>
          <w:rFonts w:ascii="Times New Roman" w:eastAsia="Times New Roman" w:hAnsi="Times New Roman" w:cs="Times New Roman"/>
        </w:rPr>
        <w:sectPr w:rsidR="00C1266D" w:rsidSect="00C1266D">
          <w:pgSz w:w="11906" w:h="16838"/>
          <w:pgMar w:top="1417" w:right="1417" w:bottom="1417" w:left="1417" w:header="708" w:footer="708" w:gutter="0"/>
          <w:pgNumType w:start="1"/>
          <w:cols w:space="708"/>
          <w:docGrid w:linePitch="299"/>
        </w:sectPr>
      </w:pPr>
    </w:p>
    <w:p w14:paraId="2341CEBB" w14:textId="77777777" w:rsidR="00C1266D" w:rsidRDefault="00C1266D">
      <w:pPr>
        <w:jc w:val="both"/>
        <w:rPr>
          <w:rFonts w:ascii="Times New Roman" w:eastAsia="Times New Roman" w:hAnsi="Times New Roman" w:cs="Times New Roman"/>
        </w:rPr>
      </w:pPr>
    </w:p>
    <w:p w14:paraId="7EC31B56" w14:textId="77777777" w:rsidR="00C1266D" w:rsidRDefault="00C1266D">
      <w:pPr>
        <w:jc w:val="both"/>
        <w:rPr>
          <w:rFonts w:ascii="Times New Roman" w:eastAsia="Times New Roman" w:hAnsi="Times New Roman" w:cs="Times New Roman"/>
        </w:rPr>
      </w:pPr>
    </w:p>
    <w:p w14:paraId="00DF223F" w14:textId="77777777" w:rsidR="002A58B4" w:rsidRDefault="002A58B4">
      <w:pPr>
        <w:jc w:val="both"/>
        <w:rPr>
          <w:rFonts w:ascii="Times New Roman" w:eastAsia="Times New Roman" w:hAnsi="Times New Roman" w:cs="Times New Roman"/>
        </w:rPr>
      </w:pPr>
    </w:p>
    <w:p w14:paraId="0B316EA2" w14:textId="77777777" w:rsidR="002A58B4" w:rsidRDefault="00E056B7">
      <w:pPr>
        <w:jc w:val="both"/>
        <w:rPr>
          <w:rFonts w:ascii="Times New Roman" w:eastAsia="Times New Roman" w:hAnsi="Times New Roman" w:cs="Times New Roman"/>
        </w:rPr>
      </w:pPr>
      <w:r>
        <w:rPr>
          <w:rFonts w:ascii="Times New Roman" w:eastAsia="Times New Roman" w:hAnsi="Times New Roman" w:cs="Times New Roman"/>
          <w:b/>
        </w:rPr>
        <w:t> EK 3: Projenin İzleme ve Değerlendirme Planı </w:t>
      </w:r>
    </w:p>
    <w:p w14:paraId="026DE29F" w14:textId="3D323083"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Projenin İzleme ve Değerlendirme planı bağımsız bir uzman ile birlikte geliştirilecektir.</w:t>
      </w:r>
      <w:r w:rsidR="00D219D3">
        <w:rPr>
          <w:rFonts w:ascii="Times New Roman" w:eastAsia="Times New Roman" w:hAnsi="Times New Roman" w:cs="Times New Roman"/>
        </w:rPr>
        <w:t xml:space="preserve"> Çalışma</w:t>
      </w:r>
      <w:r>
        <w:rPr>
          <w:rFonts w:ascii="Times New Roman" w:eastAsia="Times New Roman" w:hAnsi="Times New Roman" w:cs="Times New Roman"/>
        </w:rPr>
        <w:t>, uzman ve proje koordinatörü tarafından gözden geçirilecektir. Etki değerlendirmesi için araçlar önerilecektir. Projenin izleme ve değerlendirme planı aşağıdaki gibidir:</w:t>
      </w:r>
    </w:p>
    <w:p w14:paraId="4C9B9B5B" w14:textId="77777777" w:rsidR="002A58B4" w:rsidRDefault="00E056B7">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1"/>
        <w:tblW w:w="139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00"/>
        <w:gridCol w:w="3060"/>
        <w:gridCol w:w="1200"/>
        <w:gridCol w:w="3525"/>
        <w:gridCol w:w="2265"/>
      </w:tblGrid>
      <w:tr w:rsidR="002A58B4" w14:paraId="0EFBCD52" w14:textId="77777777">
        <w:trPr>
          <w:trHeight w:val="285"/>
        </w:trPr>
        <w:tc>
          <w:tcPr>
            <w:tcW w:w="13950" w:type="dxa"/>
            <w:gridSpan w:val="5"/>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8A3CCFD"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b/>
              </w:rPr>
              <w:t>Impact:</w:t>
            </w:r>
            <w:r>
              <w:rPr>
                <w:rFonts w:ascii="Times New Roman" w:eastAsia="Times New Roman" w:hAnsi="Times New Roman" w:cs="Times New Roman"/>
              </w:rPr>
              <w:t xml:space="preserve"> Enhancement of the availability, accessibility and quality of essential services</w:t>
            </w:r>
          </w:p>
        </w:tc>
      </w:tr>
      <w:tr w:rsidR="002A58B4" w14:paraId="54367471" w14:textId="77777777">
        <w:trPr>
          <w:trHeight w:val="2880"/>
        </w:trPr>
        <w:tc>
          <w:tcPr>
            <w:tcW w:w="13950" w:type="dxa"/>
            <w:gridSpan w:val="5"/>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D007A3C"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b/>
              </w:rPr>
              <w:t>Outcome:</w:t>
            </w:r>
            <w:r>
              <w:rPr>
                <w:rFonts w:ascii="Times New Roman" w:eastAsia="Times New Roman" w:hAnsi="Times New Roman" w:cs="Times New Roman"/>
              </w:rPr>
              <w:t xml:space="preserve"> Improved institutional capacity and inter-sectoral coordination for a gender-responsive healthcare response to VAW</w:t>
            </w:r>
          </w:p>
          <w:p w14:paraId="465E398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increase in inter-sectoral coordination meetings or joint initiatives on VAW at local level (İstanbul and İzmir)</w:t>
            </w:r>
          </w:p>
          <w:p w14:paraId="27D1888C"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Baseline: TBD-Target: 50% increase from baseline; Means of verification: Project reports, coordination meeting records</w:t>
            </w:r>
          </w:p>
          <w:p w14:paraId="2C70258C"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 of participating institutions reporting improved capacity to address VAW in healthcare settings</w:t>
            </w:r>
          </w:p>
          <w:p w14:paraId="655D38A9"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Baseline: TBD; Target: 80%; Means of verification: Endline survey, institutional feedback forms</w:t>
            </w:r>
          </w:p>
          <w:p w14:paraId="44538C34"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 Baseline: 0%; Target: 80% demonstrate improvement; Means of verification: follow-up interviews</w:t>
            </w:r>
          </w:p>
        </w:tc>
      </w:tr>
      <w:tr w:rsidR="002A58B4" w14:paraId="3999712D" w14:textId="77777777">
        <w:trPr>
          <w:trHeight w:val="765"/>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81DECD1" w14:textId="77777777" w:rsidR="002A58B4" w:rsidRDefault="00E056B7">
            <w:pPr>
              <w:spacing w:before="240" w:after="0" w:line="276" w:lineRule="auto"/>
              <w:jc w:val="both"/>
              <w:rPr>
                <w:rFonts w:ascii="Times New Roman" w:eastAsia="Times New Roman" w:hAnsi="Times New Roman" w:cs="Times New Roman"/>
                <w:b/>
              </w:rPr>
            </w:pPr>
            <w:r>
              <w:rPr>
                <w:rFonts w:ascii="Times New Roman" w:eastAsia="Times New Roman" w:hAnsi="Times New Roman" w:cs="Times New Roman"/>
                <w:b/>
              </w:rPr>
              <w:t>Expected Result</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3F12D8A1" w14:textId="77777777" w:rsidR="002A58B4" w:rsidRDefault="00E056B7">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b/>
              </w:rPr>
              <w:t>Indicators</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510D7600" w14:textId="77777777" w:rsidR="002A58B4" w:rsidRDefault="00E056B7">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b/>
              </w:rPr>
              <w:t>Baseline</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0C74ABDB" w14:textId="77777777" w:rsidR="002A58B4" w:rsidRDefault="00E056B7">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b/>
              </w:rPr>
              <w:t>Target</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72F19977" w14:textId="77777777" w:rsidR="002A58B4" w:rsidRDefault="00E056B7">
            <w:p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b/>
              </w:rPr>
              <w:t>Means of Verification</w:t>
            </w:r>
          </w:p>
        </w:tc>
      </w:tr>
      <w:tr w:rsidR="002A58B4" w14:paraId="1E99EDC1" w14:textId="77777777">
        <w:trPr>
          <w:trHeight w:val="4095"/>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E97AA6E" w14:textId="77777777" w:rsidR="002A58B4" w:rsidRDefault="00E056B7">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Output 1:</w:t>
            </w:r>
            <w:r>
              <w:rPr>
                <w:rFonts w:ascii="Times New Roman" w:eastAsia="Times New Roman" w:hAnsi="Times New Roman" w:cs="Times New Roman"/>
              </w:rPr>
              <w:t xml:space="preserve"> Policy recommendations on strengthening rights-based healthcare responses to violence against women with an evidence-based and participatory approach are developed and disseminated</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2B722B0F"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 of institutions or decision-makers engaged in the development and validation process</w:t>
            </w:r>
          </w:p>
          <w:p w14:paraId="55EAA3E8"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reflection of suggestions of the stakeholders to the CEDAW shadow report on health dimension.</w:t>
            </w:r>
          </w:p>
          <w:p w14:paraId="259EE3BC"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 of news article on policy recommendations</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5B935EB7"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-0</w:t>
            </w:r>
          </w:p>
          <w:p w14:paraId="3FA56DE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-No</w:t>
            </w:r>
          </w:p>
          <w:p w14:paraId="4875B4BF"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-0</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66A3D2F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-50</w:t>
            </w:r>
          </w:p>
          <w:p w14:paraId="35E0FD76"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-Current situation analysis and policy and legal framework suggestions reflected in the 9th CEDAW shadow report.</w:t>
            </w:r>
          </w:p>
          <w:p w14:paraId="1368666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- 5</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272CF1F5"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lists, visit reports, experts interview lists etc.</w:t>
            </w:r>
          </w:p>
          <w:p w14:paraId="024AFF80"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copy of the report</w:t>
            </w:r>
          </w:p>
          <w:p w14:paraId="12388D8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links of the news</w:t>
            </w:r>
          </w:p>
        </w:tc>
      </w:tr>
      <w:tr w:rsidR="002A58B4" w14:paraId="097A826C" w14:textId="77777777">
        <w:trPr>
          <w:trHeight w:val="405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242C5B4"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Activity 1.1. Roundtable to review the workflow algorithm of Women’s Medical Support Centers in İstanbul </w:t>
            </w:r>
          </w:p>
          <w:p w14:paraId="26A753E6" w14:textId="77777777" w:rsidR="002A58B4" w:rsidRDefault="00E056B7">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7C4A594C"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14:paraId="4B50A208"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 # of institutions represented in roundtable;</w:t>
            </w:r>
          </w:p>
          <w:p w14:paraId="6F64FC9F"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participants (disaggregated by sector and gender);</w:t>
            </w:r>
          </w:p>
          <w:p w14:paraId="103C594C"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Policy suggestions  report for the improvement of workflow algorithm in Women’s Medical Support Units</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763A840F" w14:textId="77777777" w:rsidR="002A58B4" w:rsidRDefault="002A58B4">
            <w:pPr>
              <w:spacing w:before="240" w:after="240" w:line="276" w:lineRule="auto"/>
              <w:jc w:val="both"/>
              <w:rPr>
                <w:rFonts w:ascii="Times New Roman" w:eastAsia="Times New Roman" w:hAnsi="Times New Roman" w:cs="Times New Roman"/>
                <w:color w:val="1155CC"/>
                <w:sz w:val="18"/>
                <w:szCs w:val="18"/>
                <w:u w:val="single"/>
              </w:rPr>
            </w:pPr>
            <w:hyperlink r:id="rId11">
              <w:r>
                <w:rPr>
                  <w:rFonts w:ascii="Times New Roman" w:eastAsia="Times New Roman" w:hAnsi="Times New Roman" w:cs="Times New Roman"/>
                  <w:color w:val="1155CC"/>
                  <w:sz w:val="18"/>
                  <w:szCs w:val="18"/>
                  <w:u w:val="single"/>
                </w:rPr>
                <w:t>Policy Document of CISU Platform</w:t>
              </w:r>
            </w:hyperlink>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3DE93048"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7 institutions</w:t>
            </w:r>
          </w:p>
          <w:p w14:paraId="35EE054F"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10 participants</w:t>
            </w:r>
          </w:p>
          <w:p w14:paraId="074E88A9"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One report of current situation and suggestions for workflow algorithm in Women’s Medical Support Units</w:t>
            </w:r>
          </w:p>
          <w:p w14:paraId="6ADD7084"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4C326FD7"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w:t>
            </w:r>
          </w:p>
          <w:p w14:paraId="45F9568F"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copy of the report</w:t>
            </w:r>
          </w:p>
        </w:tc>
      </w:tr>
      <w:tr w:rsidR="002A58B4" w14:paraId="2A2F0D1C" w14:textId="77777777">
        <w:trPr>
          <w:trHeight w:val="732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BEA0DE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Activity 1.2. Review of workflow algorithm in primary healthcare in prevention of VAW in collaboration with Primary Healthcare Workers’ Network for Preventing Violence Against Women</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1D231D66"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14:paraId="672B8F6B"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14:paraId="0D29F303" w14:textId="77777777" w:rsidR="002A58B4" w:rsidRDefault="00E056B7">
            <w:pPr>
              <w:spacing w:before="240"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healthcare professionals interviewed during the review (disaggregated by gender, facility type);</w:t>
            </w:r>
          </w:p>
          <w:p w14:paraId="1D5C663A"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 of institutions represented in consultation meeting (stakeholder engagement);</w:t>
            </w:r>
          </w:p>
          <w:p w14:paraId="7CCA7205" w14:textId="77777777" w:rsidR="002A58B4" w:rsidRDefault="00E056B7">
            <w:pPr>
              <w:spacing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 of participants (attendance- disaggregated if possible);</w:t>
            </w:r>
          </w:p>
          <w:p w14:paraId="7D85176F"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Final report on primary healthcare response to VAW including legal and policy suggestions completed and validated through stakeholder input.</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75E0F3A2" w14:textId="77777777" w:rsidR="002A58B4" w:rsidRDefault="002A58B4">
            <w:pPr>
              <w:spacing w:before="240" w:after="0" w:line="276" w:lineRule="auto"/>
              <w:jc w:val="both"/>
              <w:rPr>
                <w:rFonts w:ascii="Times New Roman" w:eastAsia="Times New Roman" w:hAnsi="Times New Roman" w:cs="Times New Roman"/>
                <w:color w:val="1155CC"/>
                <w:sz w:val="18"/>
                <w:szCs w:val="18"/>
                <w:u w:val="single"/>
              </w:rPr>
            </w:pPr>
            <w:hyperlink r:id="rId12">
              <w:r>
                <w:rPr>
                  <w:rFonts w:ascii="Times New Roman" w:eastAsia="Times New Roman" w:hAnsi="Times New Roman" w:cs="Times New Roman"/>
                  <w:color w:val="1155CC"/>
                  <w:sz w:val="18"/>
                  <w:szCs w:val="18"/>
                  <w:u w:val="single"/>
                </w:rPr>
                <w:t>Policy Document of CISU Platform</w:t>
              </w:r>
            </w:hyperlink>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51EF86DC" w14:textId="77777777" w:rsidR="002A58B4" w:rsidRDefault="00E056B7">
            <w:pPr>
              <w:spacing w:before="240"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10</w:t>
            </w:r>
          </w:p>
          <w:p w14:paraId="6D158D3F" w14:textId="77777777" w:rsidR="002A58B4" w:rsidRDefault="00E056B7">
            <w:pPr>
              <w:spacing w:before="240"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20</w:t>
            </w:r>
          </w:p>
          <w:p w14:paraId="6ED8963B" w14:textId="77777777" w:rsidR="002A58B4" w:rsidRDefault="00E056B7">
            <w:pPr>
              <w:spacing w:before="240"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30 participants</w:t>
            </w:r>
          </w:p>
          <w:p w14:paraId="06084874"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report of current situation and suggestions for workflow algorithm in primary healthcare in VAW cases.</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06D036BA"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Expert report</w:t>
            </w:r>
          </w:p>
          <w:p w14:paraId="7CD033F7"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w:t>
            </w:r>
          </w:p>
          <w:p w14:paraId="5A6685FC"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copy of the report</w:t>
            </w:r>
          </w:p>
        </w:tc>
      </w:tr>
      <w:tr w:rsidR="002A58B4" w14:paraId="5FBD17BE" w14:textId="77777777">
        <w:trPr>
          <w:trHeight w:val="4335"/>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A16A89C"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Activity 1.3. Workshop in İstanbul for improvement of medical social service units together with social workers and women’s organizations working in VAW sector.</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024F66C8"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 of institutions represented in workshop (stakeholder engagement);</w:t>
            </w:r>
          </w:p>
          <w:p w14:paraId="3B26AEAB"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 of participants (attendance);</w:t>
            </w:r>
          </w:p>
          <w:p w14:paraId="5607AFD0"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Policy and legislative recommendations on improvement of medical social work units</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7FF0994C" w14:textId="77777777" w:rsidR="002A58B4" w:rsidRDefault="002A58B4">
            <w:pPr>
              <w:spacing w:before="240" w:after="0" w:line="276" w:lineRule="auto"/>
              <w:jc w:val="both"/>
              <w:rPr>
                <w:rFonts w:ascii="Times New Roman" w:eastAsia="Times New Roman" w:hAnsi="Times New Roman" w:cs="Times New Roman"/>
                <w:color w:val="1155CC"/>
                <w:sz w:val="18"/>
                <w:szCs w:val="18"/>
                <w:u w:val="single"/>
              </w:rPr>
            </w:pPr>
            <w:hyperlink r:id="rId13">
              <w:r>
                <w:rPr>
                  <w:rFonts w:ascii="Times New Roman" w:eastAsia="Times New Roman" w:hAnsi="Times New Roman" w:cs="Times New Roman"/>
                  <w:color w:val="1155CC"/>
                  <w:sz w:val="18"/>
                  <w:szCs w:val="18"/>
                  <w:u w:val="single"/>
                </w:rPr>
                <w:t>Policy Document of CISU Platform</w:t>
              </w:r>
            </w:hyperlink>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4C35F78A"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-20 participants</w:t>
            </w:r>
          </w:p>
          <w:p w14:paraId="4D66379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-14 institutions</w:t>
            </w:r>
          </w:p>
          <w:p w14:paraId="656F2FC9"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-policy suggestion report on workflow and legislation for the improvement of medical social work.</w:t>
            </w:r>
          </w:p>
          <w:p w14:paraId="758917FE" w14:textId="77777777" w:rsidR="002A58B4" w:rsidRDefault="00E056B7">
            <w:pPr>
              <w:spacing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276A73A5"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w:t>
            </w:r>
          </w:p>
          <w:p w14:paraId="39E34AE5"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copy of the report</w:t>
            </w:r>
          </w:p>
        </w:tc>
      </w:tr>
      <w:tr w:rsidR="002A58B4" w14:paraId="18897A35" w14:textId="77777777">
        <w:trPr>
          <w:trHeight w:val="429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444CB1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Activity 1.4. Advocacy and lobbying to strengthen policy and legal framework of the healthcare services in prevention of VAW</w:t>
            </w:r>
          </w:p>
          <w:p w14:paraId="0E2FD686"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5C4589C0"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p>
          <w:p w14:paraId="72C277FE"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 of stakeholders and journalists reached through public webinar (disaggregated by type),</w:t>
            </w:r>
          </w:p>
          <w:p w14:paraId="29824509"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institutions visited for policy advocacy in Ankara, İstanbul, İzmir;</w:t>
            </w:r>
          </w:p>
          <w:p w14:paraId="059F2431"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follow-up engagements or requests for information from duty bearers</w:t>
            </w:r>
          </w:p>
          <w:p w14:paraId="453C2EF0"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30E17D7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-0</w:t>
            </w:r>
          </w:p>
          <w:p w14:paraId="5595F9C4" w14:textId="77777777" w:rsidR="002A58B4" w:rsidRDefault="00E056B7">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-38</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759BCA5D"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-50 stakeholders and 5 journalist joined webinar</w:t>
            </w:r>
          </w:p>
          <w:p w14:paraId="74AF3CC8"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visits to 10 institutions in Ankara, İstanbul, İzmir</w:t>
            </w:r>
          </w:p>
          <w:p w14:paraId="01BBAD2F"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At least 5 follow-up engagements or requests</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17EFA68A"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w:t>
            </w:r>
          </w:p>
          <w:p w14:paraId="5FD4B408"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visit reports, photos</w:t>
            </w:r>
          </w:p>
          <w:p w14:paraId="7E0B74B7"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list of follow up engagements, emails etc.</w:t>
            </w:r>
          </w:p>
        </w:tc>
      </w:tr>
      <w:tr w:rsidR="002A58B4" w14:paraId="318D01F1" w14:textId="77777777">
        <w:trPr>
          <w:trHeight w:val="4605"/>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D22021E"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Output 2: Inter-institutional coordination mechanisms between healthcare and other relevant sectors for addressing VAW are improved in İstanbul and İzmir.</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4CB821F3"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participants reported an increase in dialogue at the end of the project</w:t>
            </w:r>
          </w:p>
          <w:p w14:paraId="4EFB343A"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Number of coordination mechanisms developed or improved;</w:t>
            </w:r>
          </w:p>
          <w:p w14:paraId="160F83D1"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institutions participating in coordination initiatives.</w:t>
            </w:r>
          </w:p>
          <w:p w14:paraId="6C40AE3B"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08690E5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0</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4156D6B9"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80 of participants in İstanbul and İzmir reported improved dialogue and continued engagement in follow-up activities.</w:t>
            </w:r>
          </w:p>
          <w:p w14:paraId="3B7851DF"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at least one</w:t>
            </w:r>
          </w:p>
          <w:p w14:paraId="11E9A99D"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4C1C9818"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M&amp;E report</w:t>
            </w:r>
          </w:p>
          <w:p w14:paraId="0003A312"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reports</w:t>
            </w:r>
          </w:p>
          <w:p w14:paraId="26938E8E"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project report</w:t>
            </w:r>
          </w:p>
          <w:p w14:paraId="05D0AD17"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attendance sheets</w:t>
            </w:r>
          </w:p>
        </w:tc>
      </w:tr>
      <w:tr w:rsidR="002A58B4" w14:paraId="0E2DAA92" w14:textId="77777777">
        <w:trPr>
          <w:trHeight w:val="429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9904DB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Activity 2.1. Organization of a Workshop in İzmir coordination follow-up in İzmir to improve dialogue and case management for VAW</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00010D94" w14:textId="77777777" w:rsidR="002A58B4" w:rsidRDefault="00E056B7">
            <w:pPr>
              <w:spacing w:before="240" w:after="240" w:line="276" w:lineRule="auto"/>
              <w:ind w:left="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participants (disaggregated by sector: healthcare professionals, social workers, CSOs)</w:t>
            </w:r>
          </w:p>
          <w:p w14:paraId="43729E2D" w14:textId="77777777" w:rsidR="002A58B4" w:rsidRDefault="00E056B7">
            <w:pPr>
              <w:spacing w:before="240" w:after="240" w:line="276" w:lineRule="auto"/>
              <w:ind w:left="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report</w:t>
            </w:r>
          </w:p>
          <w:p w14:paraId="1F2AF769" w14:textId="77777777" w:rsidR="002A58B4" w:rsidRDefault="00E056B7">
            <w:pPr>
              <w:spacing w:before="240" w:after="240" w:line="276" w:lineRule="auto"/>
              <w:ind w:left="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volunteer group of experts in VAW</w:t>
            </w:r>
          </w:p>
          <w:p w14:paraId="4E6232A3"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volunteer group members actively participating in service mapping for VAW case management</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283D7999"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0</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596EA903"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-30 participants</w:t>
            </w:r>
          </w:p>
          <w:p w14:paraId="0556CE68"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 workshop report</w:t>
            </w:r>
          </w:p>
          <w:p w14:paraId="6E3917FD"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a volunteer group working on healthcare services in VAW,</w:t>
            </w:r>
          </w:p>
          <w:p w14:paraId="1F5A2532"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- 60 % of volunteer group members actively participating in service mapping for VAW case management</w:t>
            </w:r>
          </w:p>
          <w:p w14:paraId="6051B26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3934E418"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w:t>
            </w:r>
          </w:p>
          <w:p w14:paraId="3D1F30AE"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copy of report</w:t>
            </w:r>
          </w:p>
          <w:p w14:paraId="709B5362"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list of the group</w:t>
            </w:r>
          </w:p>
          <w:p w14:paraId="11DABE15"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lists of attendees of group meetings</w:t>
            </w:r>
          </w:p>
          <w:p w14:paraId="0FBAD943"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M&amp;E report</w:t>
            </w:r>
          </w:p>
        </w:tc>
      </w:tr>
      <w:tr w:rsidR="002A58B4" w14:paraId="466A7564" w14:textId="77777777">
        <w:trPr>
          <w:trHeight w:val="327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8F5649B"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Activity 2.2. Action Plan Progress Follow Up Workshop in İzmir</w:t>
            </w:r>
          </w:p>
          <w:p w14:paraId="49213F5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1B86B1F6"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 of participants (disaggregated by type of participant: healthcare, social workers, CSOs)</w:t>
            </w:r>
          </w:p>
          <w:p w14:paraId="1965F24D"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a report</w:t>
            </w:r>
          </w:p>
          <w:p w14:paraId="770D35D5" w14:textId="77777777" w:rsidR="002A58B4" w:rsidRDefault="00E056B7">
            <w:pPr>
              <w:spacing w:before="240" w:after="240" w:line="276" w:lineRule="auto"/>
              <w:ind w:left="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healthcare institutions applying service mapping in real-world settings within 6 months</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50D71F9E"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0</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67E4D852" w14:textId="77777777" w:rsidR="002A58B4" w:rsidRDefault="00E056B7">
            <w:pPr>
              <w:spacing w:before="240" w:after="0" w:line="307" w:lineRule="auto"/>
              <w:jc w:val="both"/>
              <w:rPr>
                <w:rFonts w:ascii="Times New Roman" w:eastAsia="Times New Roman" w:hAnsi="Times New Roman" w:cs="Times New Roman"/>
              </w:rPr>
            </w:pPr>
            <w:r>
              <w:rPr>
                <w:rFonts w:ascii="Times New Roman" w:eastAsia="Times New Roman" w:hAnsi="Times New Roman" w:cs="Times New Roman"/>
              </w:rPr>
              <w:t>-30 participants</w:t>
            </w:r>
          </w:p>
          <w:p w14:paraId="514BBF85" w14:textId="77777777" w:rsidR="002A58B4" w:rsidRDefault="00E056B7">
            <w:pPr>
              <w:spacing w:before="240" w:after="0" w:line="307" w:lineRule="auto"/>
              <w:jc w:val="both"/>
              <w:rPr>
                <w:rFonts w:ascii="Times New Roman" w:eastAsia="Times New Roman" w:hAnsi="Times New Roman" w:cs="Times New Roman"/>
              </w:rPr>
            </w:pPr>
            <w:r>
              <w:rPr>
                <w:rFonts w:ascii="Times New Roman" w:eastAsia="Times New Roman" w:hAnsi="Times New Roman" w:cs="Times New Roman"/>
              </w:rPr>
              <w:t>-a service mapping for improved case management for  VAW in health sector</w:t>
            </w:r>
          </w:p>
          <w:p w14:paraId="61FF2336"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13F6BCEA"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w:t>
            </w:r>
          </w:p>
          <w:p w14:paraId="7BBA1EDE"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copy of report</w:t>
            </w:r>
          </w:p>
          <w:p w14:paraId="2E3F1DE4"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M&amp;E report</w:t>
            </w:r>
          </w:p>
        </w:tc>
      </w:tr>
      <w:tr w:rsidR="002A58B4" w14:paraId="06DC9162" w14:textId="77777777">
        <w:trPr>
          <w:trHeight w:val="306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D2654B1"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Output 3: Gender-responsive standards, guidelines, and procedures for healthcare services addressing VAW are developed and piloted</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428C0290"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 of healthcare professionals and students trained on the new standards and demonstrating improved capacity to apply them in practice, as measured through post-training evaluations and feedback.</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104B1652"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0</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2BA4109F"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- 80%.</w:t>
            </w:r>
          </w:p>
          <w:p w14:paraId="501E6C84" w14:textId="77777777" w:rsidR="002A58B4" w:rsidRDefault="00E056B7">
            <w:pPr>
              <w:spacing w:before="240" w:after="0" w:line="307"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3A35EC1B"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Evaluation of the pilot research</w:t>
            </w:r>
          </w:p>
          <w:p w14:paraId="41AF8DB8"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M&amp;E</w:t>
            </w:r>
          </w:p>
        </w:tc>
      </w:tr>
      <w:tr w:rsidR="002A58B4" w14:paraId="3862966C" w14:textId="77777777">
        <w:trPr>
          <w:trHeight w:val="702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6C1FF4B"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Activity 3.1. Development and delivery of training programme for healthcare students and health workers with member organizations of Primary Healthcare Workers’ Network for Preventing Violence Against Women’s</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6B6BBDE7"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training module</w:t>
            </w:r>
          </w:p>
          <w:p w14:paraId="1F614912"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trainers</w:t>
            </w:r>
          </w:p>
          <w:p w14:paraId="723CFEA5"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dissemination sessions conducted within professional organizations and medical faculties;</w:t>
            </w:r>
          </w:p>
          <w:p w14:paraId="2901E83E"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health students &amp; professionals joined the dissemination trainings</w:t>
            </w:r>
          </w:p>
          <w:p w14:paraId="4937665E"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participants reporting increased knowledge on health sector response to VAW</w:t>
            </w:r>
          </w:p>
          <w:p w14:paraId="6D5F07CD"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congress represented health aspect of VAW</w:t>
            </w:r>
          </w:p>
          <w:p w14:paraId="71BB33A3"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35B8F14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0</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130CC40D" w14:textId="77777777" w:rsidR="002A58B4" w:rsidRDefault="00E056B7">
            <w:pPr>
              <w:spacing w:before="240"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Training module for health students and workers,</w:t>
            </w:r>
          </w:p>
          <w:p w14:paraId="6BC9F459"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10 trainers</w:t>
            </w:r>
          </w:p>
          <w:p w14:paraId="3DAFDB11"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20</w:t>
            </w:r>
          </w:p>
          <w:p w14:paraId="1E73E1D6"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Reaching 1,000 individuals</w:t>
            </w:r>
          </w:p>
          <w:p w14:paraId="5EAB8D3B"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80 %</w:t>
            </w:r>
          </w:p>
          <w:p w14:paraId="7655FD0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presentation in 3 congresses.</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5BD7F0C5"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 copy of the module</w:t>
            </w:r>
          </w:p>
          <w:p w14:paraId="063C9481"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Trainer list</w:t>
            </w:r>
          </w:p>
          <w:p w14:paraId="5D19D1A8"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M&amp;E report</w:t>
            </w:r>
          </w:p>
          <w:p w14:paraId="428D0E18"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Congress programme</w:t>
            </w:r>
          </w:p>
        </w:tc>
      </w:tr>
      <w:tr w:rsidR="002A58B4" w14:paraId="70202EF0" w14:textId="77777777">
        <w:trPr>
          <w:trHeight w:val="6915"/>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39316FB2"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Activity 3.2.: Pilot implementation of improved workflow algorithm of primary healthcare of VAW cases</w:t>
            </w:r>
          </w:p>
          <w:p w14:paraId="3896DDED"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0ECC93E9"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 of volunteer family practitioners identified for pilot;</w:t>
            </w:r>
          </w:p>
          <w:p w14:paraId="5952F7B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volunteers completing pilot training;</w:t>
            </w:r>
          </w:p>
          <w:p w14:paraId="5EF5BF1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 of institutions involved in pilot implementation</w:t>
            </w:r>
          </w:p>
          <w:p w14:paraId="14B06ACA"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trained practitioners applying revised workflow in pilot phase</w:t>
            </w:r>
          </w:p>
          <w:p w14:paraId="4EFD78E9"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follow-up calls conducted with volunteers during pilot period;</w:t>
            </w:r>
          </w:p>
          <w:p w14:paraId="6D145EF4"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VAW cases evaluated</w:t>
            </w:r>
          </w:p>
          <w:p w14:paraId="418BAE74"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Pilot evaluation report completed,</w:t>
            </w:r>
          </w:p>
          <w:p w14:paraId="26B05CB4"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participants in stakeholders meeting</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56E1209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0</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15ABE101"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40</w:t>
            </w:r>
          </w:p>
          <w:p w14:paraId="7DE393EA"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60 % (25)</w:t>
            </w:r>
          </w:p>
          <w:p w14:paraId="1EAE6CD3"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At least 10</w:t>
            </w:r>
          </w:p>
          <w:p w14:paraId="24919506"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70 % (16-18)</w:t>
            </w:r>
          </w:p>
          <w:p w14:paraId="000ECDC4"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Monthly calls for 5 months (90 calls)</w:t>
            </w:r>
          </w:p>
          <w:p w14:paraId="52F88FB9"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32-36 cases evaluated</w:t>
            </w:r>
          </w:p>
          <w:p w14:paraId="24AE9CE7"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Research report of the pilot implementation</w:t>
            </w:r>
          </w:p>
          <w:p w14:paraId="59C61239" w14:textId="77777777" w:rsidR="002A58B4" w:rsidRDefault="00E056B7">
            <w:pPr>
              <w:spacing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30 participants</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1EB5F96A"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a copy of the report</w:t>
            </w:r>
          </w:p>
          <w:p w14:paraId="462E0FC7"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w:t>
            </w:r>
          </w:p>
        </w:tc>
      </w:tr>
      <w:tr w:rsidR="002A58B4" w14:paraId="6EB27B26" w14:textId="77777777">
        <w:trPr>
          <w:trHeight w:val="291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DB5B1BD"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Activity 3.3: Organization of  a Webinar targeting building the capacity building of specialist service providers from public institutions and women organizations on health aspect of VAW and medical social service and women’s medical centers</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5E705F93"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participants</w:t>
            </w:r>
          </w:p>
          <w:p w14:paraId="180F61EC"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%of the participants learn the subject</w:t>
            </w:r>
          </w:p>
          <w:p w14:paraId="212C543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people reaching webinar video</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3CA734F2"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75A6EA86"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-200 participants</w:t>
            </w:r>
          </w:p>
          <w:p w14:paraId="1F8002E1"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at least 80% of the participants joined the survey learn the subject</w:t>
            </w:r>
          </w:p>
          <w:p w14:paraId="0CFB304F"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-webinar video broadcasted on</w:t>
            </w:r>
            <w:hyperlink r:id="rId14">
              <w:r w:rsidR="002A58B4">
                <w:rPr>
                  <w:rFonts w:ascii="Times New Roman" w:eastAsia="Times New Roman" w:hAnsi="Times New Roman" w:cs="Times New Roman"/>
                </w:rPr>
                <w:t xml:space="preserve"> </w:t>
              </w:r>
            </w:hyperlink>
            <w:hyperlink r:id="rId15">
              <w:r w:rsidR="002A58B4">
                <w:rPr>
                  <w:rFonts w:ascii="Times New Roman" w:eastAsia="Times New Roman" w:hAnsi="Times New Roman" w:cs="Times New Roman"/>
                  <w:color w:val="1155CC"/>
                  <w:u w:val="single"/>
                </w:rPr>
                <w:t>TAPV Academy</w:t>
              </w:r>
            </w:hyperlink>
            <w:r>
              <w:rPr>
                <w:rFonts w:ascii="Times New Roman" w:eastAsia="Times New Roman" w:hAnsi="Times New Roman" w:cs="Times New Roman"/>
              </w:rPr>
              <w:t xml:space="preserve"> reached by 1000 people</w:t>
            </w:r>
          </w:p>
          <w:p w14:paraId="1B78ED84"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093C97E1"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 from zoom platform</w:t>
            </w:r>
          </w:p>
          <w:p w14:paraId="749B4BAE"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M&amp;E report</w:t>
            </w:r>
          </w:p>
          <w:p w14:paraId="04B35437" w14:textId="77777777" w:rsidR="002A58B4" w:rsidRDefault="00E056B7">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TAPV Academy data</w:t>
            </w:r>
          </w:p>
        </w:tc>
      </w:tr>
      <w:tr w:rsidR="002A58B4" w14:paraId="53E34B26" w14:textId="77777777">
        <w:trPr>
          <w:trHeight w:val="168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02B5159"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Output 4: Women exposed to violence have increased </w:t>
            </w:r>
            <w:r>
              <w:rPr>
                <w:rFonts w:ascii="Times New Roman" w:eastAsia="Times New Roman" w:hAnsi="Times New Roman" w:cs="Times New Roman"/>
                <w:i/>
              </w:rPr>
              <w:t>knowledge</w:t>
            </w:r>
            <w:r>
              <w:rPr>
                <w:rFonts w:ascii="Times New Roman" w:eastAsia="Times New Roman" w:hAnsi="Times New Roman" w:cs="Times New Roman"/>
              </w:rPr>
              <w:t xml:space="preserve"> about the health care services &amp; rights</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28DC9694"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positive reactions</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31897E0A"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02B50A0C"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%80 of the reactions to blog page, social media posts, brochure confirms increase in knowledge in healthcare services and rights and reflect the integration of the voice of women</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764F1B9D"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M&amp;E report</w:t>
            </w:r>
          </w:p>
        </w:tc>
      </w:tr>
      <w:tr w:rsidR="002A58B4" w14:paraId="3D763E79" w14:textId="77777777">
        <w:trPr>
          <w:trHeight w:val="2835"/>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1C6DDF9"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Activity 4.1. development of a blog   as a source of information and information disseminated via social media &amp; PR Activities</w:t>
            </w:r>
          </w:p>
          <w:p w14:paraId="553E8C3F"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5B973137"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visitor to website blog page</w:t>
            </w:r>
          </w:p>
          <w:p w14:paraId="5247ED23"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reach to social media message</w:t>
            </w:r>
          </w:p>
          <w:p w14:paraId="2C612F9B"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impression</w:t>
            </w:r>
          </w:p>
          <w:p w14:paraId="276C299F"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of reach press</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7B858A3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4D13FE1A"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-2000 people</w:t>
            </w:r>
          </w:p>
          <w:p w14:paraId="1308063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- 100 thousand people.</w:t>
            </w:r>
          </w:p>
          <w:p w14:paraId="35E211A4"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-425 impressions in press</w:t>
            </w:r>
          </w:p>
          <w:p w14:paraId="3CCB8EE1"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-210.000 reach</w:t>
            </w:r>
          </w:p>
          <w:p w14:paraId="6835207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592B16B9"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TAPV Academy data</w:t>
            </w:r>
          </w:p>
          <w:p w14:paraId="65139876" w14:textId="77777777" w:rsidR="002A58B4" w:rsidRDefault="00E056B7">
            <w:pPr>
              <w:spacing w:after="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Social media report</w:t>
            </w:r>
          </w:p>
          <w:p w14:paraId="3BCCDE3B"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PR report</w:t>
            </w:r>
          </w:p>
        </w:tc>
      </w:tr>
      <w:tr w:rsidR="002A58B4" w14:paraId="2FEDA0C8" w14:textId="77777777">
        <w:trPr>
          <w:trHeight w:val="4620"/>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C4774E8"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Activity 4.2. A brochure will be produced for women on their health rights when they are subjected to violence</w:t>
            </w:r>
          </w:p>
          <w:p w14:paraId="5C5CD706"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70B1ED0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One brochure on health rights developed and finalized;</w:t>
            </w:r>
          </w:p>
          <w:p w14:paraId="74DE0172"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brochure copies printed and distributed;</w:t>
            </w:r>
          </w:p>
          <w:p w14:paraId="03EA7AB6"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of municipalities or women’s counselling centers receiving the brochures</w:t>
            </w:r>
          </w:p>
          <w:p w14:paraId="55725B2D"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 of stakeholders providing feedback on brochure content before finalization through Women Empowerment Programme network</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1F20BCFE"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45FF287A"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-1</w:t>
            </w:r>
          </w:p>
          <w:p w14:paraId="68C09FBE"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-5000</w:t>
            </w:r>
          </w:p>
          <w:p w14:paraId="40BD2A8B"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-10</w:t>
            </w:r>
          </w:p>
          <w:p w14:paraId="3415ED44"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-30</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483C0A37"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Participation list</w:t>
            </w:r>
          </w:p>
          <w:p w14:paraId="4260C8E1"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Goods receipt</w:t>
            </w:r>
          </w:p>
          <w:p w14:paraId="160744F8"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Distribution list</w:t>
            </w:r>
          </w:p>
        </w:tc>
      </w:tr>
      <w:tr w:rsidR="002A58B4" w14:paraId="729B3EDB" w14:textId="77777777">
        <w:trPr>
          <w:trHeight w:val="285"/>
        </w:trPr>
        <w:tc>
          <w:tcPr>
            <w:tcW w:w="390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A3DE575"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060" w:type="dxa"/>
            <w:tcBorders>
              <w:top w:val="nil"/>
              <w:left w:val="nil"/>
              <w:bottom w:val="single" w:sz="4" w:space="0" w:color="000000"/>
              <w:right w:val="single" w:sz="4" w:space="0" w:color="000000"/>
            </w:tcBorders>
            <w:tcMar>
              <w:top w:w="0" w:type="dxa"/>
              <w:left w:w="100" w:type="dxa"/>
              <w:bottom w:w="0" w:type="dxa"/>
              <w:right w:w="100" w:type="dxa"/>
            </w:tcMar>
          </w:tcPr>
          <w:p w14:paraId="43989A50"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200" w:type="dxa"/>
            <w:tcBorders>
              <w:top w:val="nil"/>
              <w:left w:val="nil"/>
              <w:bottom w:val="single" w:sz="4" w:space="0" w:color="000000"/>
              <w:right w:val="single" w:sz="4" w:space="0" w:color="000000"/>
            </w:tcBorders>
            <w:tcMar>
              <w:top w:w="0" w:type="dxa"/>
              <w:left w:w="100" w:type="dxa"/>
              <w:bottom w:w="0" w:type="dxa"/>
              <w:right w:w="100" w:type="dxa"/>
            </w:tcMar>
          </w:tcPr>
          <w:p w14:paraId="5064BC9D"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3525" w:type="dxa"/>
            <w:tcBorders>
              <w:top w:val="nil"/>
              <w:left w:val="nil"/>
              <w:bottom w:val="single" w:sz="4" w:space="0" w:color="000000"/>
              <w:right w:val="single" w:sz="4" w:space="0" w:color="000000"/>
            </w:tcBorders>
            <w:tcMar>
              <w:top w:w="0" w:type="dxa"/>
              <w:left w:w="100" w:type="dxa"/>
              <w:bottom w:w="0" w:type="dxa"/>
              <w:right w:w="100" w:type="dxa"/>
            </w:tcMar>
          </w:tcPr>
          <w:p w14:paraId="43A4ACCD" w14:textId="77777777" w:rsidR="002A58B4" w:rsidRDefault="00E056B7">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2265" w:type="dxa"/>
            <w:tcBorders>
              <w:top w:val="nil"/>
              <w:left w:val="nil"/>
              <w:bottom w:val="single" w:sz="4" w:space="0" w:color="000000"/>
              <w:right w:val="single" w:sz="4" w:space="0" w:color="000000"/>
            </w:tcBorders>
            <w:tcMar>
              <w:top w:w="0" w:type="dxa"/>
              <w:left w:w="100" w:type="dxa"/>
              <w:bottom w:w="0" w:type="dxa"/>
              <w:right w:w="100" w:type="dxa"/>
            </w:tcMar>
          </w:tcPr>
          <w:p w14:paraId="1F85FF2E" w14:textId="77777777" w:rsidR="002A58B4" w:rsidRDefault="00E056B7">
            <w:pPr>
              <w:spacing w:before="240" w:after="240" w:line="276" w:lineRule="auto"/>
              <w:ind w:left="1080" w:hanging="360"/>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 </w:t>
            </w:r>
          </w:p>
        </w:tc>
      </w:tr>
    </w:tbl>
    <w:p w14:paraId="48C74BC6" w14:textId="77777777" w:rsidR="002A58B4" w:rsidRDefault="002A58B4">
      <w:pPr>
        <w:jc w:val="both"/>
        <w:rPr>
          <w:rFonts w:ascii="Times New Roman" w:eastAsia="Times New Roman" w:hAnsi="Times New Roman" w:cs="Times New Roman"/>
        </w:rPr>
      </w:pPr>
    </w:p>
    <w:sectPr w:rsidR="002A58B4">
      <w:pgSz w:w="16838" w:h="11906" w:orient="landscape"/>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D81B1" w14:textId="77777777" w:rsidR="003F34DE" w:rsidRDefault="003F34DE" w:rsidP="00C1266D">
      <w:pPr>
        <w:spacing w:after="0" w:line="240" w:lineRule="auto"/>
      </w:pPr>
      <w:r>
        <w:separator/>
      </w:r>
    </w:p>
  </w:endnote>
  <w:endnote w:type="continuationSeparator" w:id="0">
    <w:p w14:paraId="1BD3729E" w14:textId="77777777" w:rsidR="003F34DE" w:rsidRDefault="003F34DE" w:rsidP="00C1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A2BA6B1-E5B8-4449-B11C-CDD39B03C42F}"/>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A2067D8C-FC93-4901-BA66-8DDA37DFC352}"/>
    <w:embedBold r:id="rId3" w:fontKey="{A76B80A1-0C22-4847-B974-9B97B00974A3}"/>
  </w:font>
  <w:font w:name="Georgia">
    <w:panose1 w:val="02040502050405020303"/>
    <w:charset w:val="A2"/>
    <w:family w:val="roman"/>
    <w:pitch w:val="variable"/>
    <w:sig w:usb0="00000287" w:usb1="00000000" w:usb2="00000000" w:usb3="00000000" w:csb0="0000009F" w:csb1="00000000"/>
    <w:embedRegular r:id="rId4" w:fontKey="{220ABD0F-F60B-41B5-96E6-5CE1E38484BE}"/>
    <w:embedItalic r:id="rId5" w:fontKey="{EE8CF1A3-2CDE-47B3-8C21-347CFA6D3DB3}"/>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r:id="rId6" w:fontKey="{35C669B5-2B28-4C43-A62F-E2AD7215F0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97B11" w14:textId="77777777" w:rsidR="003F34DE" w:rsidRDefault="003F34DE" w:rsidP="00C1266D">
      <w:pPr>
        <w:spacing w:after="0" w:line="240" w:lineRule="auto"/>
      </w:pPr>
      <w:r>
        <w:separator/>
      </w:r>
    </w:p>
  </w:footnote>
  <w:footnote w:type="continuationSeparator" w:id="0">
    <w:p w14:paraId="548EB827" w14:textId="77777777" w:rsidR="003F34DE" w:rsidRDefault="003F34DE" w:rsidP="00C126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D6D34"/>
    <w:multiLevelType w:val="multilevel"/>
    <w:tmpl w:val="41642A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F44EEE"/>
    <w:multiLevelType w:val="multilevel"/>
    <w:tmpl w:val="72883C1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4760F21"/>
    <w:multiLevelType w:val="multilevel"/>
    <w:tmpl w:val="1018E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A47D1E"/>
    <w:multiLevelType w:val="multilevel"/>
    <w:tmpl w:val="9A44A6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F8E1C14"/>
    <w:multiLevelType w:val="multilevel"/>
    <w:tmpl w:val="C2DA9E4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3F218BD"/>
    <w:multiLevelType w:val="multilevel"/>
    <w:tmpl w:val="5AACEA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47E7CE8"/>
    <w:multiLevelType w:val="multilevel"/>
    <w:tmpl w:val="5A525602"/>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422214D"/>
    <w:multiLevelType w:val="multilevel"/>
    <w:tmpl w:val="8FA2DF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69E600D"/>
    <w:multiLevelType w:val="multilevel"/>
    <w:tmpl w:val="4B20A0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924321E"/>
    <w:multiLevelType w:val="multilevel"/>
    <w:tmpl w:val="CE52DB6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6FE1DAE"/>
    <w:multiLevelType w:val="multilevel"/>
    <w:tmpl w:val="86D299D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EFF3425"/>
    <w:multiLevelType w:val="multilevel"/>
    <w:tmpl w:val="7142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BC75C5"/>
    <w:multiLevelType w:val="multilevel"/>
    <w:tmpl w:val="9F4EF65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0295939"/>
    <w:multiLevelType w:val="multilevel"/>
    <w:tmpl w:val="5F3021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F782830"/>
    <w:multiLevelType w:val="multilevel"/>
    <w:tmpl w:val="F1B2C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9A7346"/>
    <w:multiLevelType w:val="multilevel"/>
    <w:tmpl w:val="2D464D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EE56E13"/>
    <w:multiLevelType w:val="multilevel"/>
    <w:tmpl w:val="3E269FF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22053779">
    <w:abstractNumId w:val="2"/>
  </w:num>
  <w:num w:numId="2" w16cid:durableId="784619917">
    <w:abstractNumId w:val="15"/>
  </w:num>
  <w:num w:numId="3" w16cid:durableId="270019771">
    <w:abstractNumId w:val="8"/>
  </w:num>
  <w:num w:numId="4" w16cid:durableId="326255134">
    <w:abstractNumId w:val="5"/>
  </w:num>
  <w:num w:numId="5" w16cid:durableId="1307973712">
    <w:abstractNumId w:val="1"/>
  </w:num>
  <w:num w:numId="6" w16cid:durableId="1695035147">
    <w:abstractNumId w:val="10"/>
  </w:num>
  <w:num w:numId="7" w16cid:durableId="854609358">
    <w:abstractNumId w:val="16"/>
  </w:num>
  <w:num w:numId="8" w16cid:durableId="1258366998">
    <w:abstractNumId w:val="4"/>
  </w:num>
  <w:num w:numId="9" w16cid:durableId="162623064">
    <w:abstractNumId w:val="7"/>
  </w:num>
  <w:num w:numId="10" w16cid:durableId="307900269">
    <w:abstractNumId w:val="6"/>
  </w:num>
  <w:num w:numId="11" w16cid:durableId="820728913">
    <w:abstractNumId w:val="9"/>
  </w:num>
  <w:num w:numId="12" w16cid:durableId="64111628">
    <w:abstractNumId w:val="12"/>
  </w:num>
  <w:num w:numId="13" w16cid:durableId="956259502">
    <w:abstractNumId w:val="13"/>
  </w:num>
  <w:num w:numId="14" w16cid:durableId="1462842475">
    <w:abstractNumId w:val="3"/>
  </w:num>
  <w:num w:numId="15" w16cid:durableId="1748838585">
    <w:abstractNumId w:val="0"/>
  </w:num>
  <w:num w:numId="16" w16cid:durableId="407532539">
    <w:abstractNumId w:val="14"/>
  </w:num>
  <w:num w:numId="17" w16cid:durableId="12528577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8B4"/>
    <w:rsid w:val="000E2E17"/>
    <w:rsid w:val="000F74BA"/>
    <w:rsid w:val="001C1CB1"/>
    <w:rsid w:val="002A58B4"/>
    <w:rsid w:val="0034735F"/>
    <w:rsid w:val="003A4BF2"/>
    <w:rsid w:val="003F34DE"/>
    <w:rsid w:val="00434AD2"/>
    <w:rsid w:val="004957F5"/>
    <w:rsid w:val="006E67AA"/>
    <w:rsid w:val="009469E4"/>
    <w:rsid w:val="00966022"/>
    <w:rsid w:val="00AC559A"/>
    <w:rsid w:val="00C1266D"/>
    <w:rsid w:val="00D219D3"/>
    <w:rsid w:val="00D43BF0"/>
    <w:rsid w:val="00D877C5"/>
    <w:rsid w:val="00E056B7"/>
    <w:rsid w:val="00E41E6C"/>
    <w:rsid w:val="00E87780"/>
    <w:rsid w:val="00EC4FFD"/>
    <w:rsid w:val="00F91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93DB"/>
  <w15:docId w15:val="{68ADD058-421F-41FC-A62D-2F8A51DF6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tBilgi">
    <w:name w:val="header"/>
    <w:basedOn w:val="Normal"/>
    <w:link w:val="stBilgiChar"/>
    <w:uiPriority w:val="99"/>
    <w:unhideWhenUsed/>
    <w:rsid w:val="00C1266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1266D"/>
  </w:style>
  <w:style w:type="paragraph" w:styleId="AltBilgi">
    <w:name w:val="footer"/>
    <w:basedOn w:val="Normal"/>
    <w:link w:val="AltBilgiChar"/>
    <w:uiPriority w:val="99"/>
    <w:unhideWhenUsed/>
    <w:rsid w:val="00C1266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1266D"/>
  </w:style>
  <w:style w:type="paragraph" w:styleId="ListeParagraf">
    <w:name w:val="List Paragraph"/>
    <w:basedOn w:val="Normal"/>
    <w:uiPriority w:val="34"/>
    <w:qFormat/>
    <w:rsid w:val="00C126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isuplatform.org.tr/wp-content/uploads/2024/06/Policy-Document-on-Strengthening-Healthcare-Service-Mechanisms-for-Women-Subjected-to-Violence.pd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isuplatform.org.tr/wp-content/uploads/2024/06/Policy-Document-on-Strengthening-Healthcare-Service-Mechanisms-for-Women-Subjected-to-Violence.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isuplatform.org.tr/wp-content/uploads/2024/06/Policy-Document-on-Strengthening-Healthcare-Service-Mechanisms-for-Women-Subjected-to-Violence.pdf" TargetMode="External"/><Relationship Id="rId5" Type="http://schemas.openxmlformats.org/officeDocument/2006/relationships/settings" Target="settings.xml"/><Relationship Id="rId15" Type="http://schemas.openxmlformats.org/officeDocument/2006/relationships/hyperlink" Target="https://akademi.tapv.org.tr/" TargetMode="External"/><Relationship Id="rId10" Type="http://schemas.openxmlformats.org/officeDocument/2006/relationships/package" Target="embeddings/Microsoft_Word_Document.doc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akademi.tapv.org.t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3NlOISfU+rRH3d+g76T5Lk4xZw==">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3788BB-6277-4A65-A68D-3F7B2BFD5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18</Pages>
  <Words>3384</Words>
  <Characters>19293</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tapv ofis</dc:creator>
  <cp:lastModifiedBy>Arda Çetin</cp:lastModifiedBy>
  <cp:revision>7</cp:revision>
  <dcterms:created xsi:type="dcterms:W3CDTF">2023-01-30T11:43:00Z</dcterms:created>
  <dcterms:modified xsi:type="dcterms:W3CDTF">2025-07-29T09:37:00Z</dcterms:modified>
</cp:coreProperties>
</file>